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1200" w:lineRule="exact"/>
        <w:jc w:val="both"/>
        <w:rPr>
          <w:rFonts w:hint="eastAsia" w:ascii="仿宋_GB2312" w:hAnsi="仿宋_GB2312" w:eastAsia="仿宋_GB2312" w:cs="仿宋_GB2312"/>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color w:val="000000" w:themeColor="text1"/>
          <w:sz w:val="96"/>
          <w:szCs w:val="96"/>
          <w14:textFill>
            <w14:solidFill>
              <w14:schemeClr w14:val="tx1"/>
            </w14:solidFill>
          </w14:textFill>
        </w:rPr>
      </w:pPr>
      <w:r>
        <w:rPr>
          <w:b w:val="0"/>
          <w:bCs w:val="0"/>
          <w:sz w:val="84"/>
          <w:szCs w:val="84"/>
        </w:rPr>
        <w:t>201</w:t>
      </w:r>
      <w:r>
        <w:rPr>
          <w:rFonts w:hint="eastAsia"/>
          <w:b w:val="0"/>
          <w:bCs w:val="0"/>
          <w:sz w:val="84"/>
          <w:szCs w:val="84"/>
        </w:rPr>
        <w:t>8</w:t>
      </w:r>
      <w:r>
        <w:rPr>
          <w:sz w:val="84"/>
          <w:szCs w:val="84"/>
        </w:rPr>
        <w:t>年度部门决算公开</w:t>
      </w:r>
    </w:p>
    <w:p>
      <w:pPr>
        <w:widowControl/>
        <w:jc w:val="center"/>
        <w:rPr>
          <w:rFonts w:hAnsi="宋体" w:asciiTheme="minorEastAsia" w:eastAsiaTheme="minorEastAsia"/>
          <w:color w:val="002060"/>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both"/>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jc w:val="center"/>
        <w:rPr>
          <w:rFonts w:hint="eastAsia"/>
          <w:sz w:val="32"/>
          <w:szCs w:val="32"/>
          <w:lang w:val="en-US" w:eastAsia="zh-CN"/>
        </w:rPr>
      </w:pPr>
      <w:r>
        <w:rPr>
          <w:b/>
          <w:sz w:val="44"/>
          <w:szCs w:val="44"/>
        </w:rPr>
        <w:t>廊坊市</w:t>
      </w:r>
      <w:r>
        <w:rPr>
          <w:rFonts w:hint="eastAsia"/>
          <w:b/>
          <w:sz w:val="44"/>
          <w:szCs w:val="44"/>
          <w:lang w:val="en-US" w:eastAsia="zh-CN"/>
        </w:rPr>
        <w:t>大厂回族自治县人力资源和社会保障局</w:t>
      </w:r>
    </w:p>
    <w:p>
      <w:pPr>
        <w:widowControl/>
        <w:spacing w:after="0" w:line="600" w:lineRule="exact"/>
        <w:ind w:firstLine="640" w:firstLineChars="200"/>
        <w:jc w:val="left"/>
        <w:rPr>
          <w:rFonts w:hint="eastAsia" w:asciiTheme="minorEastAsia" w:hAnsiTheme="minorEastAsia" w:eastAsiaTheme="minorEastAsia" w:cstheme="minorEastAsia"/>
          <w:bCs/>
          <w:sz w:val="32"/>
          <w:szCs w:val="32"/>
          <w:highlight w:val="yellow"/>
        </w:rPr>
      </w:pPr>
    </w:p>
    <w:p>
      <w:pPr>
        <w:widowControl/>
        <w:spacing w:after="0" w:line="600" w:lineRule="exact"/>
        <w:ind w:firstLine="640" w:firstLineChars="200"/>
        <w:jc w:val="left"/>
        <w:rPr>
          <w:rFonts w:hint="eastAsia" w:asciiTheme="minorEastAsia" w:hAnsiTheme="minorEastAsia" w:eastAsiaTheme="minorEastAsia" w:cstheme="minorEastAsia"/>
          <w:bCs/>
          <w:sz w:val="32"/>
          <w:szCs w:val="32"/>
          <w:highlight w:val="yellow"/>
        </w:rPr>
      </w:pP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w:t>
      </w:r>
      <w:r>
        <w:rPr>
          <w:rFonts w:hint="eastAsia" w:eastAsia="黑体"/>
          <w:sz w:val="32"/>
          <w:szCs w:val="32"/>
          <w:lang w:val="en-US" w:eastAsia="zh-CN"/>
        </w:rPr>
        <w:t xml:space="preserve"> </w:t>
      </w:r>
      <w:r>
        <w:rPr>
          <w:rFonts w:hint="eastAsia" w:eastAsia="黑体"/>
          <w:sz w:val="32"/>
          <w:szCs w:val="32"/>
          <w:lang w:eastAsia="zh-CN"/>
        </w:rPr>
        <w:t>大厂回族自治县人力资源和社会保障局</w:t>
      </w:r>
      <w:r>
        <w:rPr>
          <w:rFonts w:eastAsia="黑体"/>
          <w:sz w:val="32"/>
          <w:szCs w:val="32"/>
        </w:rPr>
        <w:t>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left="2238" w:leftChars="304" w:hanging="1600" w:hangingChars="500"/>
        <w:rPr>
          <w:rFonts w:eastAsia="仿宋_GB2312"/>
          <w:sz w:val="20"/>
          <w:szCs w:val="32"/>
        </w:rPr>
      </w:pPr>
      <w:r>
        <w:rPr>
          <w:rFonts w:eastAsia="黑体"/>
          <w:sz w:val="32"/>
          <w:szCs w:val="32"/>
        </w:rPr>
        <w:t>第二部分</w:t>
      </w:r>
      <w:r>
        <w:rPr>
          <w:rFonts w:hint="eastAsia" w:eastAsia="黑体"/>
          <w:sz w:val="32"/>
          <w:szCs w:val="32"/>
          <w:lang w:val="en-US" w:eastAsia="zh-CN"/>
        </w:rPr>
        <w:t xml:space="preserve"> </w:t>
      </w:r>
      <w:r>
        <w:rPr>
          <w:rFonts w:hint="eastAsia" w:eastAsia="黑体"/>
          <w:sz w:val="32"/>
          <w:szCs w:val="32"/>
          <w:lang w:eastAsia="zh-CN"/>
        </w:rPr>
        <w:t>大厂回族自治县人力资源和社会保障局</w:t>
      </w:r>
      <w:r>
        <w:rPr>
          <w:rFonts w:eastAsia="黑体"/>
          <w:sz w:val="32"/>
          <w:szCs w:val="32"/>
        </w:rPr>
        <w:t>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一、收入支出决算总表</w:t>
      </w:r>
    </w:p>
    <w:p>
      <w:pPr>
        <w:widowControl/>
        <w:spacing w:line="580" w:lineRule="exact"/>
        <w:ind w:left="64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二、收入决算表</w:t>
      </w:r>
    </w:p>
    <w:p>
      <w:pPr>
        <w:widowControl/>
        <w:spacing w:line="580" w:lineRule="exact"/>
        <w:ind w:left="64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三、支出决算表</w:t>
      </w:r>
    </w:p>
    <w:p>
      <w:pPr>
        <w:widowControl/>
        <w:spacing w:line="580" w:lineRule="exact"/>
        <w:ind w:left="64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四、财政拨款收入支出决算总表</w:t>
      </w:r>
    </w:p>
    <w:p>
      <w:pPr>
        <w:widowControl/>
        <w:spacing w:line="580" w:lineRule="exact"/>
        <w:ind w:left="64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五、一般公共预算财政拨款支出决算表</w:t>
      </w:r>
    </w:p>
    <w:p>
      <w:pPr>
        <w:widowControl/>
        <w:spacing w:line="580" w:lineRule="exact"/>
        <w:ind w:left="64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六、一般公共预算财政拨款基本支出决算表</w:t>
      </w:r>
    </w:p>
    <w:p>
      <w:pPr>
        <w:widowControl/>
        <w:spacing w:line="580" w:lineRule="exact"/>
        <w:ind w:left="64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七、一般公共预算财政拨款“三公”经费支出决算表</w:t>
      </w:r>
    </w:p>
    <w:p>
      <w:pPr>
        <w:widowControl/>
        <w:spacing w:line="580" w:lineRule="exact"/>
        <w:ind w:left="64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八、政府性基金预算财政拨款收入支出决算表</w:t>
      </w:r>
    </w:p>
    <w:p>
      <w:pPr>
        <w:widowControl/>
        <w:spacing w:line="580" w:lineRule="exact"/>
        <w:ind w:left="64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九、国有资本经营预算财政拨款支出决算表</w:t>
      </w:r>
    </w:p>
    <w:p>
      <w:pPr>
        <w:widowControl/>
        <w:spacing w:line="580" w:lineRule="exact"/>
        <w:ind w:left="64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left="2238" w:leftChars="304" w:hanging="1600" w:hangingChars="500"/>
        <w:rPr>
          <w:rFonts w:eastAsia="黑体"/>
          <w:sz w:val="32"/>
          <w:szCs w:val="32"/>
        </w:rPr>
      </w:pPr>
      <w:r>
        <w:rPr>
          <w:rFonts w:eastAsia="黑体"/>
          <w:sz w:val="32"/>
          <w:szCs w:val="32"/>
        </w:rPr>
        <w:t xml:space="preserve">第三部分  </w:t>
      </w:r>
      <w:r>
        <w:rPr>
          <w:rFonts w:hint="eastAsia" w:eastAsia="黑体"/>
          <w:sz w:val="32"/>
          <w:szCs w:val="32"/>
          <w:lang w:eastAsia="zh-CN"/>
        </w:rPr>
        <w:t>大厂回族自治县人力资源和社会保障局</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一、收入支出决算总体情况说明</w:t>
      </w:r>
    </w:p>
    <w:p>
      <w:pPr>
        <w:widowControl/>
        <w:spacing w:line="580" w:lineRule="exact"/>
        <w:ind w:left="64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二、收入决算情况说明</w:t>
      </w:r>
    </w:p>
    <w:p>
      <w:pPr>
        <w:widowControl/>
        <w:spacing w:line="580" w:lineRule="exact"/>
        <w:ind w:left="64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三、支出决算情况说明</w:t>
      </w:r>
    </w:p>
    <w:p>
      <w:pPr>
        <w:widowControl/>
        <w:spacing w:line="580" w:lineRule="exact"/>
        <w:ind w:left="64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四、财政拨款收入支出决算情况说明</w:t>
      </w:r>
    </w:p>
    <w:p>
      <w:pPr>
        <w:widowControl/>
        <w:spacing w:line="580" w:lineRule="exact"/>
        <w:ind w:left="1919" w:leftChars="609" w:hanging="640" w:hanging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五、一般公共预算财政拨款“三公”经费支出决算情况说明</w:t>
      </w:r>
    </w:p>
    <w:p>
      <w:pPr>
        <w:widowControl/>
        <w:spacing w:line="580" w:lineRule="exact"/>
        <w:ind w:left="64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六、预算绩效情况说明</w:t>
      </w:r>
    </w:p>
    <w:p>
      <w:pPr>
        <w:spacing w:line="560" w:lineRule="exact"/>
        <w:ind w:firstLine="1280" w:firstLineChars="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七、其他重要事项的说明</w:t>
      </w:r>
    </w:p>
    <w:p>
      <w:pPr>
        <w:widowControl/>
        <w:spacing w:line="580" w:lineRule="exact"/>
        <w:ind w:firstLine="640" w:firstLineChars="200"/>
        <w:rPr>
          <w:rFonts w:eastAsia="黑体"/>
          <w:sz w:val="32"/>
          <w:szCs w:val="32"/>
        </w:rPr>
      </w:pPr>
      <w:r>
        <w:rPr>
          <w:rFonts w:eastAsia="黑体"/>
          <w:sz w:val="32"/>
          <w:szCs w:val="32"/>
        </w:rPr>
        <w:t>第四部分</w:t>
      </w:r>
      <w:r>
        <w:rPr>
          <w:rFonts w:hint="eastAsia" w:eastAsia="黑体"/>
          <w:sz w:val="32"/>
          <w:szCs w:val="32"/>
          <w:lang w:val="en-US" w:eastAsia="zh-CN"/>
        </w:rPr>
        <w:t xml:space="preserve">  </w:t>
      </w:r>
      <w:r>
        <w:rPr>
          <w:rFonts w:eastAsia="黑体"/>
          <w:sz w:val="32"/>
          <w:szCs w:val="32"/>
        </w:rPr>
        <w:t>名词解释</w:t>
      </w:r>
    </w:p>
    <w:p/>
    <w:p/>
    <w:p/>
    <w:p/>
    <w:p/>
    <w:p>
      <w:pPr>
        <w:widowControl/>
        <w:jc w:val="center"/>
        <w:rPr>
          <w:sz w:val="52"/>
          <w:szCs w:val="52"/>
        </w:rPr>
      </w:pPr>
      <w:r>
        <w:rPr>
          <w:rFonts w:hint="eastAsia" w:hAnsi="宋体" w:asciiTheme="minorEastAsia" w:eastAsiaTheme="minorEastAsia"/>
          <w:color w:val="000000" w:themeColor="text1"/>
          <w:sz w:val="52"/>
          <w:szCs w:val="52"/>
          <w14:textFill>
            <w14:solidFill>
              <w14:schemeClr w14:val="tx1"/>
            </w14:solidFill>
          </w14:textFill>
        </w:rPr>
        <w:t>第一部分  部门概况</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（一）拟订全县人事制度改革规划、方案并组织实施；拟订全县人事管理规定；对全县人事工作进行指导、督察检查、协调服务；负责政府系统机构改革“三定”后的人员定岗工作。</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（二）负责全县机关事业单位工作人员总体规划、结构调整和宏观管理；编制下达全县机关事业单位人员规划、工资计划并组织监督实施。</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管理全县专业技术人员和专业技术人员队伍建设工作；负责高级专门人才规划、培养工作；组织有突出贡献中青年专家和享受政府特殊津贴专家的选拔推荐工作；负责专业技术人员继续教育工作；拟订专业技术骨干人才出国（境）的管理政策规定并组织实施。</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拟订全县事业单位人事制度改革总体方案，拟订事业单位职员、专业技术人员和工勤人员管理的措施并组织实施；归口管理全县专业技术人员职称工作，完善专业技术职称聘任制度，推行专业技术执业资格制度，完善专业技术资格考试制度。研究指导企业人事制度改革工作。</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（五）综合管理全县国家公务员工作。完善国家公务员制度；拟订国家公务员各项管理规定及实施办法，指导和协调全县实施国家公务员制度工作；制定国家公务员培训规划并组织实施。</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六）负责全县人才资源规划开发工作；拟订人才流动规定，发展、规范人才市场；建立和完善人事争议仲裁制度；组织协调非师范类大中专毕业生就业制度改革，负责非师范类大中专毕业生就业和未列入国家就业方案、非在职的、国家承认学历的大中专毕业生就业录用工作；提出少量国家和省市急需、应予以保证的高校毕业生指令性就业计划；承办国家和省市特殊需要人员的选调工作；协调有关部门组织选派援疆、援藏干部及其内返安置工作。</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七）综合管理全县机关、事业单位工作人员工资福利工作；组织协调全县机关、事业单位工勤人员建立岗位等级规范及技术等级考核评定工作；协调管理机关、事业单位工作人员的离退休、退职及伤残政策落实工作。</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八）承办县政府提请县人大常委会决定任免人员和县政府任免人员的行政手续等有关事宜；综合管理政府的奖励、表彰工作，会同有关部门拟订政府奖励办法，审核上报政府奖励表彰的人员，协调指导县政府各部门的全县性表彰活动。负责有关惩戒与申诉控告工作。</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（九）负责军队转业干部的安置培训及随调家属安置和自主择业转业干部的管理工作，研究建立与社会主义市场经济体制相适应的军队转业干部安置制度。</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（十）负责全县县、乡政府机关及事业单位（不含学校）政务公开工作的统一规划、指导协调、监督检查工作。</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十一）贯彻执行《中华人民共和国劳动法》等国家、省、市制定颁布的有关劳动和社会保障工作的法律法规、政策规定及实施办法，负责劳动和社会保障政策的咨询服务，负责本系统依法行政规范、执法监督规则的实施和监督检查。</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（十二）拟订全县劳动和社会保障制度的总体改革方案，以及全县劳动和社会保障事业发展的中长期规划和年度计划，并组织实施和监督检查。</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（十三）监督检查劳动和社会保障法律、法规执行情况，依法行使国家劳动和社会保障监督检查职权；制定劳动和社会保障监督检查规范。</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十四）统筹管理全县人力资源的开发利用和就业工作，拟订全县促进城乡就业的基本规定和措施，并组织实施；制定人力资源市场管理规划并实施监督，指导人力资源市场的发展；组织建立健全就业服务体系，指导劳动力就业服务事业发展；拟订企业下岗职工分流安置、基本生活保障和再就业以及农村剩余劳动力跨地区有序流动的规定、措施并组织实施；负责全县公民境外就业的管理和境外人员来我县就业的管理审核。</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十五）拟订全县企业职工工资收入及其他劳动报酬的调控办法和措施；负责全县企业工资指导线和最低工资保障的政策组织和实施；综合协调全县非公有制企业劳动工资政策；贯彻执行行业工资收入调节政策和国有企业经营者收入分配政策，并负责县属企业工资总额和经营者收入的审核。</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十六）贯彻执行劳动关系基本规则，拟订劳动关系调整和劳动合同、集体合同制度的实施办法，指导和管理劳动合同、集体合同及劳动合同鉴证工作；负责劳动争议仲裁工作；监督检查企业工作时间、休假制度和女工、未成年人特殊保护的政策、规定的实施；制定适用于各类企业惩处职工的基本规则；按分工负责政策性安置和调配工作；参与评定市级企业劳动模范的有关工作。</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十七）组织贯彻执行职业分类、职业技能国家标准和相关行业标准，推行职业资格证书制度；拟订县就业训练中心、社会力量举办的就业培训机构的发展规划和管理规则；拟订企业在职职工技能培训和企业下岗职工、失业人员就业培训的规划和措施，并组织实施；制定职业技能人才培训、表彰、奖励和职业技能竞赛的规则和措施；贯彻执行劳动预备制度，并负责具体办法的实施；指导职业技能培训机构的师资队伍建设及教材规划，负责职业技能培训机构的评估认定和社会培训机构的审批、学籍管理及毕（结）业证书的核发。</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十八）负责全县养老、医疗、生育、工伤、失业等社会保险各项法律法规政策的贯彻实施，并组织监督和检查；负责对全县社会保险基金的支付、管理工作，并实施行政监督；负责社会保险经办机构的管理；拟订全县社会保险服务体系规划并组织实施；负责全县企业职工保险福利政策及工伤认定、职业病伤残等级鉴定和劳动能力鉴定的组织实施工作;负责征地补偿和失地农民安置保障工作。</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（十九）负责承担全县人力资源和社会保障统计工作和有关信息的采集、处理；定期发布人力资源和社会保障事业信息资料及发展预测报告。</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从决算编报单位构成看，纳入2018 年度本部门决算汇编范围的独立核算单位（以下简称“单位”）共</w:t>
      </w: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个，具体情况如下：</w:t>
      </w:r>
    </w:p>
    <w:tbl>
      <w:tblPr>
        <w:tblStyle w:val="14"/>
        <w:tblpPr w:leftFromText="180" w:rightFromText="180" w:vertAnchor="text" w:horzAnchor="page" w:tblpX="1545" w:tblpY="585"/>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vAlign w:val="center"/>
          </w:tcPr>
          <w:p>
            <w:pPr>
              <w:spacing w:after="0" w:line="56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大厂回族自治县人力资源和社会保障局</w:t>
            </w:r>
          </w:p>
        </w:tc>
        <w:tc>
          <w:tcPr>
            <w:tcW w:w="2445" w:type="dxa"/>
          </w:tcPr>
          <w:p>
            <w:pPr>
              <w:spacing w:after="0" w:line="56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行政单位</w:t>
            </w:r>
          </w:p>
        </w:tc>
        <w:tc>
          <w:tcPr>
            <w:tcW w:w="2665" w:type="dxa"/>
          </w:tcPr>
          <w:p>
            <w:pPr>
              <w:spacing w:after="0" w:line="56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jc w:val="center"/>
              <w:rPr>
                <w:rFonts w:ascii="仿宋_GB2312" w:eastAsia="仿宋_GB2312" w:cs="ArialUnicodeMS" w:hAnsiTheme="minorHAnsi"/>
                <w:kern w:val="0"/>
                <w:sz w:val="28"/>
                <w:szCs w:val="28"/>
              </w:rPr>
            </w:pPr>
            <w:r>
              <w:rPr>
                <w:rFonts w:hint="eastAsia" w:ascii="仿宋" w:hAnsi="仿宋" w:eastAsia="仿宋" w:cs="仿宋"/>
                <w:kern w:val="0"/>
                <w:sz w:val="24"/>
                <w:szCs w:val="24"/>
              </w:rPr>
              <w:t>大厂回族自治县就业局</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 w:hAnsi="仿宋" w:eastAsia="仿宋" w:cs="仿宋"/>
                <w:kern w:val="0"/>
                <w:sz w:val="24"/>
                <w:szCs w:val="24"/>
              </w:rPr>
              <w:t>事业单位</w:t>
            </w:r>
          </w:p>
        </w:tc>
        <w:tc>
          <w:tcPr>
            <w:tcW w:w="2665" w:type="dxa"/>
            <w:shd w:val="clear" w:color="auto" w:fill="FFFFFF" w:themeFill="background1"/>
          </w:tcPr>
          <w:p>
            <w:pPr>
              <w:spacing w:after="0" w:line="56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财政性资金基本保证</w:t>
            </w:r>
          </w:p>
        </w:tc>
      </w:tr>
    </w:tbl>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p>
      <w:pPr>
        <w:widowControl/>
        <w:spacing w:line="1200" w:lineRule="exact"/>
        <w:ind w:firstLine="2880" w:firstLineChars="400"/>
        <w:jc w:val="both"/>
        <w:rPr>
          <w:rFonts w:hint="eastAsia" w:hAnsi="宋体" w:asciiTheme="minorEastAsia" w:eastAsiaTheme="minorEastAsia"/>
          <w:color w:val="000000" w:themeColor="text1"/>
          <w:sz w:val="72"/>
          <w:szCs w:val="96"/>
          <w14:textFill>
            <w14:solidFill>
              <w14:schemeClr w14:val="tx1"/>
            </w14:solidFill>
          </w14:textFill>
        </w:rPr>
      </w:pPr>
    </w:p>
    <w:p>
      <w:pPr>
        <w:widowControl/>
        <w:spacing w:line="1200" w:lineRule="exact"/>
        <w:ind w:firstLine="2880" w:firstLineChars="400"/>
        <w:jc w:val="both"/>
        <w:rPr>
          <w:rFonts w:hint="eastAsia" w:hAnsi="宋体" w:asciiTheme="minorEastAsia" w:eastAsiaTheme="minorEastAsia"/>
          <w:color w:val="000000" w:themeColor="text1"/>
          <w:sz w:val="72"/>
          <w:szCs w:val="96"/>
          <w14:textFill>
            <w14:solidFill>
              <w14:schemeClr w14:val="tx1"/>
            </w14:solidFill>
          </w14:textFill>
        </w:rPr>
      </w:pPr>
    </w:p>
    <w:p>
      <w:pPr>
        <w:widowControl/>
        <w:spacing w:line="1200" w:lineRule="exact"/>
        <w:ind w:firstLine="2880" w:firstLineChars="400"/>
        <w:jc w:val="both"/>
        <w:rPr>
          <w:rFonts w:hAnsi="宋体" w:asciiTheme="minorEastAsia" w:eastAsiaTheme="minorEastAsia"/>
          <w:color w:val="000000" w:themeColor="text1"/>
          <w:sz w:val="72"/>
          <w:szCs w:val="96"/>
          <w14:textFill>
            <w14:solidFill>
              <w14:schemeClr w14:val="tx1"/>
            </w14:solidFill>
          </w14:textFill>
        </w:rPr>
      </w:pPr>
      <w:r>
        <w:rPr>
          <w:rFonts w:hint="eastAsia" w:hAnsi="宋体" w:asciiTheme="minorEastAsia" w:eastAsiaTheme="minorEastAsia"/>
          <w:color w:val="000000" w:themeColor="text1"/>
          <w:sz w:val="72"/>
          <w:szCs w:val="96"/>
          <w14:textFill>
            <w14:solidFill>
              <w14:schemeClr w14:val="tx1"/>
            </w14:solidFill>
          </w14:textFill>
        </w:rPr>
        <w:t>第二部分</w:t>
      </w:r>
    </w:p>
    <w:p>
      <w:pPr>
        <w:widowControl/>
        <w:spacing w:line="1200" w:lineRule="exact"/>
        <w:jc w:val="center"/>
        <w:rPr>
          <w:color w:val="000000" w:themeColor="text1"/>
          <w:sz w:val="72"/>
          <w:szCs w:val="96"/>
          <w14:textFill>
            <w14:solidFill>
              <w14:schemeClr w14:val="tx1"/>
            </w14:solidFill>
          </w14:textFill>
        </w:rPr>
      </w:pPr>
      <w:r>
        <w:rPr>
          <w:rFonts w:hint="eastAsia" w:hAnsi="宋体" w:asciiTheme="minorEastAsia" w:eastAsiaTheme="minorEastAsia"/>
          <w:color w:val="000000" w:themeColor="text1"/>
          <w:sz w:val="72"/>
          <w:szCs w:val="96"/>
          <w14:textFill>
            <w14:solidFill>
              <w14:schemeClr w14:val="tx1"/>
            </w14:solidFill>
          </w14:textFill>
        </w:rPr>
        <w:t>2018年度部门决算报表</w:t>
      </w: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3"/>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7303"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r>
              <w:rPr>
                <w:rFonts w:hint="eastAsia" w:ascii="宋体" w:hAnsi="宋体" w:cs="宋体"/>
                <w:color w:val="000000"/>
                <w:kern w:val="0"/>
                <w:sz w:val="20"/>
                <w:szCs w:val="20"/>
              </w:rPr>
              <w:t>部门：廊坊市大厂回族自治县人力资源和社会保障局（本级）</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spacing w:line="360" w:lineRule="auto"/>
              <w:jc w:val="right"/>
              <w:textAlignment w:val="top"/>
              <w:rPr>
                <w:rFonts w:ascii="宋体" w:hAnsi="宋体" w:cs="宋体"/>
                <w:color w:val="000000"/>
                <w:sz w:val="20"/>
                <w:szCs w:val="20"/>
              </w:rPr>
            </w:pPr>
            <w:r>
              <w:rPr>
                <w:rFonts w:hint="eastAsia" w:ascii="宋体" w:hAnsi="宋体" w:eastAsia="宋体" w:cs="宋体"/>
                <w:i w:val="0"/>
                <w:color w:val="000000"/>
                <w:kern w:val="0"/>
                <w:sz w:val="22"/>
                <w:szCs w:val="22"/>
                <w:u w:val="none"/>
                <w:lang w:val="en-US" w:eastAsia="zh-CN" w:bidi="ar"/>
              </w:rPr>
              <w:t>95,250.08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20"/>
                <w:szCs w:val="20"/>
              </w:rPr>
            </w:pPr>
            <w:r>
              <w:rPr>
                <w:rFonts w:hint="eastAsia" w:ascii="宋体" w:hAnsi="宋体" w:eastAsia="宋体" w:cs="宋体"/>
                <w:i w:val="0"/>
                <w:color w:val="000000"/>
                <w:kern w:val="0"/>
                <w:sz w:val="22"/>
                <w:szCs w:val="22"/>
                <w:u w:val="none"/>
                <w:lang w:val="en-US" w:eastAsia="zh-CN" w:bidi="ar"/>
              </w:rPr>
              <w:t>20.00</w:t>
            </w: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20"/>
                <w:szCs w:val="20"/>
              </w:rPr>
            </w:pPr>
            <w:r>
              <w:rPr>
                <w:rFonts w:hint="eastAsia" w:ascii="宋体" w:hAnsi="宋体" w:eastAsia="宋体" w:cs="宋体"/>
                <w:i w:val="0"/>
                <w:color w:val="000000"/>
                <w:kern w:val="0"/>
                <w:sz w:val="22"/>
                <w:szCs w:val="22"/>
                <w:u w:val="none"/>
                <w:lang w:val="en-US" w:eastAsia="zh-CN" w:bidi="ar"/>
              </w:rPr>
              <w:t>33,833.18</w:t>
            </w: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20"/>
                <w:szCs w:val="20"/>
              </w:rPr>
            </w:pPr>
            <w:r>
              <w:rPr>
                <w:rFonts w:hint="eastAsia" w:ascii="宋体" w:hAnsi="宋体" w:eastAsia="宋体" w:cs="宋体"/>
                <w:i w:val="0"/>
                <w:color w:val="000000"/>
                <w:kern w:val="0"/>
                <w:sz w:val="22"/>
                <w:szCs w:val="22"/>
                <w:u w:val="none"/>
                <w:lang w:val="en-US" w:eastAsia="zh-CN" w:bidi="ar"/>
              </w:rPr>
              <w:t>6,352.74</w:t>
            </w: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20"/>
                <w:szCs w:val="20"/>
              </w:rPr>
            </w:pPr>
            <w:r>
              <w:rPr>
                <w:rFonts w:hint="eastAsia" w:ascii="宋体" w:hAnsi="宋体" w:eastAsia="宋体" w:cs="宋体"/>
                <w:i w:val="0"/>
                <w:color w:val="000000"/>
                <w:kern w:val="0"/>
                <w:sz w:val="22"/>
                <w:szCs w:val="22"/>
                <w:u w:val="none"/>
                <w:lang w:val="en-US" w:eastAsia="zh-CN" w:bidi="ar"/>
              </w:rPr>
              <w:t>54,776.62</w:t>
            </w: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20"/>
                <w:szCs w:val="20"/>
              </w:rPr>
            </w:pPr>
            <w:r>
              <w:rPr>
                <w:rFonts w:hint="eastAsia" w:ascii="宋体" w:hAnsi="宋体" w:eastAsia="宋体" w:cs="宋体"/>
                <w:i w:val="0"/>
                <w:color w:val="000000"/>
                <w:kern w:val="0"/>
                <w:sz w:val="22"/>
                <w:szCs w:val="22"/>
                <w:u w:val="none"/>
                <w:lang w:val="en-US" w:eastAsia="zh-CN" w:bidi="ar"/>
              </w:rPr>
              <w:t>169.00</w:t>
            </w: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20"/>
                <w:szCs w:val="20"/>
              </w:rPr>
            </w:pPr>
            <w:r>
              <w:rPr>
                <w:rFonts w:hint="eastAsia" w:ascii="宋体" w:hAnsi="宋体" w:eastAsia="宋体" w:cs="宋体"/>
                <w:i w:val="0"/>
                <w:color w:val="000000"/>
                <w:kern w:val="0"/>
                <w:sz w:val="22"/>
                <w:szCs w:val="22"/>
                <w:u w:val="none"/>
                <w:lang w:val="en-US" w:eastAsia="zh-CN" w:bidi="ar"/>
              </w:rPr>
              <w:t>85.47</w:t>
            </w: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spacing w:line="360" w:lineRule="auto"/>
              <w:jc w:val="right"/>
              <w:textAlignment w:val="top"/>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95,250.08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20"/>
                <w:szCs w:val="20"/>
              </w:rPr>
            </w:pPr>
            <w:r>
              <w:rPr>
                <w:rFonts w:hint="eastAsia" w:ascii="宋体" w:hAnsi="宋体" w:eastAsia="宋体" w:cs="宋体"/>
                <w:i w:val="0"/>
                <w:color w:val="000000"/>
                <w:kern w:val="0"/>
                <w:sz w:val="22"/>
                <w:szCs w:val="22"/>
                <w:u w:val="none"/>
                <w:lang w:val="en-US" w:eastAsia="zh-CN" w:bidi="ar"/>
              </w:rPr>
              <w:t>95,237.02</w:t>
            </w: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spacing w:line="360" w:lineRule="auto"/>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spacing w:line="360" w:lineRule="auto"/>
              <w:jc w:val="right"/>
              <w:textAlignment w:val="top"/>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42.44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20"/>
                <w:szCs w:val="20"/>
              </w:rPr>
            </w:pPr>
            <w:r>
              <w:rPr>
                <w:rFonts w:hint="eastAsia" w:ascii="宋体" w:hAnsi="宋体" w:eastAsia="宋体" w:cs="宋体"/>
                <w:i w:val="0"/>
                <w:color w:val="000000"/>
                <w:kern w:val="0"/>
                <w:sz w:val="22"/>
                <w:szCs w:val="22"/>
                <w:u w:val="none"/>
                <w:lang w:val="en-US" w:eastAsia="zh-CN" w:bidi="ar"/>
              </w:rPr>
              <w:t>55.50</w:t>
            </w:r>
          </w:p>
        </w:tc>
      </w:tr>
      <w:tr>
        <w:tblPrEx>
          <w:tblCellMar>
            <w:top w:w="0" w:type="dxa"/>
            <w:left w:w="0" w:type="dxa"/>
            <w:bottom w:w="0" w:type="dxa"/>
            <w:right w:w="0" w:type="dxa"/>
          </w:tblCellMar>
        </w:tblPrEx>
        <w:trPr>
          <w:trHeight w:val="363" w:hRule="exac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top"/>
          </w:tcPr>
          <w:p>
            <w:pPr>
              <w:keepNext w:val="0"/>
              <w:keepLines w:val="0"/>
              <w:widowControl/>
              <w:suppressLineNumbers w:val="0"/>
              <w:spacing w:line="360" w:lineRule="auto"/>
              <w:jc w:val="right"/>
              <w:textAlignment w:val="top"/>
              <w:rPr>
                <w:rFonts w:ascii="宋体" w:hAnsi="宋体" w:cs="宋体"/>
                <w:color w:val="000000"/>
                <w:sz w:val="18"/>
                <w:szCs w:val="18"/>
              </w:rPr>
            </w:pPr>
            <w:r>
              <w:rPr>
                <w:rFonts w:hint="eastAsia" w:ascii="宋体" w:hAnsi="宋体" w:eastAsia="宋体" w:cs="宋体"/>
                <w:i w:val="0"/>
                <w:color w:val="000000"/>
                <w:kern w:val="0"/>
                <w:sz w:val="22"/>
                <w:szCs w:val="22"/>
                <w:u w:val="none"/>
                <w:lang w:val="en-US" w:eastAsia="zh-CN" w:bidi="ar"/>
              </w:rPr>
              <w:t>95,292.52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20"/>
                <w:szCs w:val="20"/>
              </w:rPr>
            </w:pPr>
            <w:r>
              <w:rPr>
                <w:rFonts w:hint="eastAsia" w:ascii="宋体" w:hAnsi="宋体" w:eastAsia="宋体" w:cs="宋体"/>
                <w:i w:val="0"/>
                <w:color w:val="000000"/>
                <w:kern w:val="0"/>
                <w:sz w:val="22"/>
                <w:szCs w:val="22"/>
                <w:u w:val="none"/>
                <w:lang w:val="en-US" w:eastAsia="zh-CN" w:bidi="ar"/>
              </w:rPr>
              <w:t>95,292.52</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3"/>
        <w:tblW w:w="9000" w:type="dxa"/>
        <w:jc w:val="center"/>
        <w:tblLayout w:type="fixed"/>
        <w:tblCellMar>
          <w:top w:w="0" w:type="dxa"/>
          <w:left w:w="0" w:type="dxa"/>
          <w:bottom w:w="0" w:type="dxa"/>
          <w:right w:w="0" w:type="dxa"/>
        </w:tblCellMar>
      </w:tblPr>
      <w:tblGrid>
        <w:gridCol w:w="290"/>
        <w:gridCol w:w="289"/>
        <w:gridCol w:w="404"/>
        <w:gridCol w:w="1516"/>
        <w:gridCol w:w="647"/>
        <w:gridCol w:w="436"/>
        <w:gridCol w:w="682"/>
        <w:gridCol w:w="402"/>
        <w:gridCol w:w="718"/>
        <w:gridCol w:w="365"/>
        <w:gridCol w:w="753"/>
        <w:gridCol w:w="331"/>
        <w:gridCol w:w="789"/>
        <w:gridCol w:w="294"/>
        <w:gridCol w:w="884"/>
        <w:gridCol w:w="200"/>
      </w:tblGrid>
      <w:tr>
        <w:tblPrEx>
          <w:tblCellMar>
            <w:top w:w="0" w:type="dxa"/>
            <w:left w:w="0" w:type="dxa"/>
            <w:bottom w:w="0" w:type="dxa"/>
            <w:right w:w="0" w:type="dxa"/>
          </w:tblCellMar>
        </w:tblPrEx>
        <w:trPr>
          <w:gridAfter w:val="1"/>
          <w:wAfter w:w="200" w:type="dxa"/>
          <w:trHeight w:val="770" w:hRule="atLeast"/>
          <w:jc w:val="center"/>
        </w:trPr>
        <w:tc>
          <w:tcPr>
            <w:tcW w:w="8800" w:type="dxa"/>
            <w:gridSpan w:val="15"/>
            <w:tcBorders>
              <w:top w:val="nil"/>
              <w:left w:val="nil"/>
              <w:bottom w:val="nil"/>
              <w:right w:val="nil"/>
            </w:tcBorders>
            <w:shd w:val="clear" w:color="auto" w:fill="auto"/>
            <w:noWrap/>
            <w:tcMar>
              <w:top w:w="15" w:type="dxa"/>
              <w:left w:w="15" w:type="dxa"/>
              <w:right w:w="15" w:type="dxa"/>
            </w:tcMar>
            <w:vAlign w:val="bottom"/>
          </w:tcPr>
          <w:tbl>
            <w:tblPr>
              <w:tblStyle w:val="13"/>
              <w:tblW w:w="8800" w:type="dxa"/>
              <w:jc w:val="center"/>
              <w:tblLayout w:type="fixed"/>
              <w:tblCellMar>
                <w:top w:w="0" w:type="dxa"/>
                <w:left w:w="0" w:type="dxa"/>
                <w:bottom w:w="0" w:type="dxa"/>
                <w:right w:w="0" w:type="dxa"/>
              </w:tblCellMar>
            </w:tblPr>
            <w:tblGrid>
              <w:gridCol w:w="335"/>
              <w:gridCol w:w="179"/>
              <w:gridCol w:w="402"/>
              <w:gridCol w:w="1635"/>
              <w:gridCol w:w="334"/>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0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6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3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6406" w:type="dxa"/>
                  <w:gridSpan w:val="1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r>
                    <w:rPr>
                      <w:rFonts w:hint="eastAsia" w:ascii="宋体" w:hAnsi="宋体" w:cs="宋体"/>
                      <w:color w:val="000000"/>
                      <w:kern w:val="0"/>
                      <w:szCs w:val="21"/>
                    </w:rPr>
                    <w:t>部门：廊坊市大厂回族自治县人力资源和社会保障局（本级）</w:t>
                  </w: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551"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721"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91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635"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721"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5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72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351" w:hRule="exact"/>
                <w:jc w:val="center"/>
              </w:trPr>
              <w:tc>
                <w:tcPr>
                  <w:tcW w:w="25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721"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b/>
                      <w:color w:val="000000"/>
                      <w:sz w:val="18"/>
                      <w:szCs w:val="18"/>
                    </w:rPr>
                  </w:pPr>
                  <w:r>
                    <w:rPr>
                      <w:rFonts w:hint="eastAsia" w:ascii="宋体" w:hAnsi="宋体" w:eastAsia="宋体" w:cs="宋体"/>
                      <w:b/>
                      <w:i w:val="0"/>
                      <w:color w:val="000000"/>
                      <w:kern w:val="0"/>
                      <w:sz w:val="18"/>
                      <w:szCs w:val="18"/>
                      <w:u w:val="none"/>
                      <w:lang w:val="en-US" w:eastAsia="zh-CN" w:bidi="ar"/>
                    </w:rPr>
                    <w:t>95,250.08</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b/>
                      <w:color w:val="000000"/>
                      <w:sz w:val="18"/>
                      <w:szCs w:val="18"/>
                    </w:rPr>
                  </w:pPr>
                  <w:r>
                    <w:rPr>
                      <w:rFonts w:hint="eastAsia" w:ascii="宋体" w:hAnsi="宋体" w:eastAsia="宋体" w:cs="宋体"/>
                      <w:b/>
                      <w:i w:val="0"/>
                      <w:color w:val="000000"/>
                      <w:kern w:val="0"/>
                      <w:sz w:val="18"/>
                      <w:szCs w:val="18"/>
                      <w:u w:val="none"/>
                      <w:lang w:val="en-US" w:eastAsia="zh-CN" w:bidi="ar"/>
                    </w:rPr>
                    <w:t>95,250.08</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w:t>
                  </w:r>
                </w:p>
              </w:tc>
              <w:tc>
                <w:tcPr>
                  <w:tcW w:w="1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一般公共服务支出</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31.00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31.00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20110</w:t>
                  </w:r>
                </w:p>
              </w:tc>
              <w:tc>
                <w:tcPr>
                  <w:tcW w:w="1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人力资源事务</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31.00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31.00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2011006</w:t>
                  </w:r>
                </w:p>
              </w:tc>
              <w:tc>
                <w:tcPr>
                  <w:tcW w:w="1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军队转业干部安置</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31.00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31.00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w:t>
                  </w:r>
                </w:p>
              </w:tc>
              <w:tc>
                <w:tcPr>
                  <w:tcW w:w="1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社会保障和就业支出</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33,835.25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33,835.25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w:t>
                  </w:r>
                </w:p>
              </w:tc>
              <w:tc>
                <w:tcPr>
                  <w:tcW w:w="1635" w:type="dxa"/>
                  <w:tcBorders>
                    <w:top w:val="nil"/>
                    <w:left w:val="nil"/>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6"/>
                      <w:szCs w:val="16"/>
                    </w:rPr>
                  </w:pPr>
                  <w:r>
                    <w:rPr>
                      <w:rFonts w:hint="eastAsia" w:ascii="宋体" w:hAnsi="宋体" w:eastAsia="宋体" w:cs="宋体"/>
                      <w:i w:val="0"/>
                      <w:color w:val="000000"/>
                      <w:spacing w:val="0"/>
                      <w:w w:val="76"/>
                      <w:kern w:val="0"/>
                      <w:sz w:val="16"/>
                      <w:szCs w:val="16"/>
                      <w:u w:val="none"/>
                      <w:lang w:val="en-US" w:eastAsia="zh-CN" w:bidi="ar"/>
                    </w:rPr>
                    <w:t>人力资源和社会保障管理事务</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1,966.19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1,966.19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2080101</w:t>
                  </w:r>
                </w:p>
              </w:tc>
              <w:tc>
                <w:tcPr>
                  <w:tcW w:w="1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行政运行</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1,592.57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1,592.57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2080104</w:t>
                  </w:r>
                </w:p>
              </w:tc>
              <w:tc>
                <w:tcPr>
                  <w:tcW w:w="1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综合业务管理</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119.49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119.49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2080106</w:t>
                  </w:r>
                </w:p>
              </w:tc>
              <w:tc>
                <w:tcPr>
                  <w:tcW w:w="1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就业管理事务</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37.98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37.98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2080107</w:t>
                  </w:r>
                </w:p>
              </w:tc>
              <w:tc>
                <w:tcPr>
                  <w:tcW w:w="1635" w:type="dxa"/>
                  <w:tcBorders>
                    <w:top w:val="nil"/>
                    <w:left w:val="nil"/>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6"/>
                      <w:szCs w:val="16"/>
                    </w:rPr>
                  </w:pPr>
                  <w:r>
                    <w:rPr>
                      <w:rFonts w:hint="eastAsia" w:ascii="宋体" w:hAnsi="宋体" w:eastAsia="宋体" w:cs="宋体"/>
                      <w:i w:val="0"/>
                      <w:color w:val="000000"/>
                      <w:spacing w:val="0"/>
                      <w:w w:val="90"/>
                      <w:kern w:val="0"/>
                      <w:sz w:val="16"/>
                      <w:szCs w:val="16"/>
                      <w:u w:val="none"/>
                      <w:lang w:val="en-US" w:eastAsia="zh-CN" w:bidi="ar"/>
                    </w:rPr>
                    <w:t xml:space="preserve">  社会保险业务管理事务</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25.80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25.80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2080108</w:t>
                  </w:r>
                </w:p>
              </w:tc>
              <w:tc>
                <w:tcPr>
                  <w:tcW w:w="1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信息化建设</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15.00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15.00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2080109</w:t>
                  </w:r>
                </w:p>
              </w:tc>
              <w:tc>
                <w:tcPr>
                  <w:tcW w:w="1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社会保险经办机构</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169.75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169.75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2080110</w:t>
                  </w:r>
                </w:p>
              </w:tc>
              <w:tc>
                <w:tcPr>
                  <w:tcW w:w="1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劳动关系和维权</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5.60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5.60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20805</w:t>
                  </w:r>
                </w:p>
              </w:tc>
              <w:tc>
                <w:tcPr>
                  <w:tcW w:w="1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行政事业单位离退休</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5,842.99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5,842.99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2080501</w:t>
                  </w:r>
                </w:p>
              </w:tc>
              <w:tc>
                <w:tcPr>
                  <w:tcW w:w="1635" w:type="dxa"/>
                  <w:tcBorders>
                    <w:top w:val="nil"/>
                    <w:left w:val="nil"/>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6"/>
                      <w:szCs w:val="16"/>
                    </w:rPr>
                  </w:pPr>
                  <w:r>
                    <w:rPr>
                      <w:rFonts w:hint="eastAsia" w:ascii="宋体" w:hAnsi="宋体" w:eastAsia="宋体" w:cs="宋体"/>
                      <w:i w:val="0"/>
                      <w:color w:val="000000"/>
                      <w:spacing w:val="0"/>
                      <w:w w:val="76"/>
                      <w:kern w:val="0"/>
                      <w:sz w:val="16"/>
                      <w:szCs w:val="16"/>
                      <w:u w:val="none"/>
                      <w:lang w:val="en-US" w:eastAsia="zh-CN" w:bidi="ar"/>
                    </w:rPr>
                    <w:t xml:space="preserve">  归口管理的行政单位离退休</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1,600.00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1,600.00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2080502</w:t>
                  </w:r>
                </w:p>
              </w:tc>
              <w:tc>
                <w:tcPr>
                  <w:tcW w:w="1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事业单位离退休</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4,100.00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4,100.00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2080505</w:t>
                  </w:r>
                </w:p>
              </w:tc>
              <w:tc>
                <w:tcPr>
                  <w:tcW w:w="1635" w:type="dxa"/>
                  <w:tcBorders>
                    <w:top w:val="nil"/>
                    <w:left w:val="nil"/>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6"/>
                      <w:szCs w:val="16"/>
                    </w:rPr>
                  </w:pPr>
                  <w:r>
                    <w:rPr>
                      <w:rFonts w:hint="eastAsia" w:ascii="宋体" w:hAnsi="宋体" w:eastAsia="宋体" w:cs="宋体"/>
                      <w:i w:val="0"/>
                      <w:color w:val="000000"/>
                      <w:spacing w:val="0"/>
                      <w:w w:val="58"/>
                      <w:kern w:val="0"/>
                      <w:sz w:val="16"/>
                      <w:szCs w:val="16"/>
                      <w:u w:val="none"/>
                      <w:lang w:val="en-US" w:eastAsia="zh-CN" w:bidi="ar"/>
                    </w:rPr>
                    <w:t xml:space="preserve">  机关事业单位基本养老保险缴费支出</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142.99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142.99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20807</w:t>
                  </w:r>
                </w:p>
              </w:tc>
              <w:tc>
                <w:tcPr>
                  <w:tcW w:w="1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就业补助</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496.00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496.00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2080799</w:t>
                  </w:r>
                </w:p>
              </w:tc>
              <w:tc>
                <w:tcPr>
                  <w:tcW w:w="1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其他就业补助支出</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496.00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496.00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20825</w:t>
                  </w:r>
                </w:p>
              </w:tc>
              <w:tc>
                <w:tcPr>
                  <w:tcW w:w="1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其他生活救助</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2082501</w:t>
                  </w:r>
                </w:p>
              </w:tc>
              <w:tc>
                <w:tcPr>
                  <w:tcW w:w="163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其他城市生活救助</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20826</w:t>
                  </w:r>
                </w:p>
              </w:tc>
              <w:tc>
                <w:tcPr>
                  <w:tcW w:w="1635" w:type="dxa"/>
                  <w:tcBorders>
                    <w:top w:val="nil"/>
                    <w:left w:val="nil"/>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6"/>
                      <w:szCs w:val="16"/>
                    </w:rPr>
                  </w:pPr>
                  <w:r>
                    <w:rPr>
                      <w:rFonts w:hint="eastAsia" w:ascii="宋体" w:hAnsi="宋体" w:eastAsia="宋体" w:cs="宋体"/>
                      <w:i w:val="0"/>
                      <w:color w:val="000000"/>
                      <w:spacing w:val="0"/>
                      <w:w w:val="71"/>
                      <w:kern w:val="0"/>
                      <w:sz w:val="16"/>
                      <w:szCs w:val="16"/>
                      <w:u w:val="none"/>
                      <w:lang w:val="en-US" w:eastAsia="zh-CN" w:bidi="ar"/>
                    </w:rPr>
                    <w:t>财政对基本养老保险基金的补助</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5,915.47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5,915.47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2082602</w:t>
                  </w:r>
                </w:p>
              </w:tc>
              <w:tc>
                <w:tcPr>
                  <w:tcW w:w="1635" w:type="dxa"/>
                  <w:tcBorders>
                    <w:top w:val="nil"/>
                    <w:left w:val="nil"/>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6"/>
                      <w:szCs w:val="16"/>
                    </w:rPr>
                  </w:pPr>
                  <w:r>
                    <w:rPr>
                      <w:rFonts w:hint="eastAsia" w:ascii="宋体" w:hAnsi="宋体" w:eastAsia="宋体" w:cs="宋体"/>
                      <w:i w:val="0"/>
                      <w:color w:val="000000"/>
                      <w:spacing w:val="0"/>
                      <w:w w:val="52"/>
                      <w:kern w:val="0"/>
                      <w:sz w:val="16"/>
                      <w:szCs w:val="16"/>
                      <w:u w:val="none"/>
                      <w:lang w:val="en-US" w:eastAsia="zh-CN" w:bidi="ar"/>
                    </w:rPr>
                    <w:t xml:space="preserve">  财政对城乡居民基本养老保险基金的补助</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5,915.47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5,915.47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20899</w:t>
                  </w:r>
                </w:p>
              </w:tc>
              <w:tc>
                <w:tcPr>
                  <w:tcW w:w="1635" w:type="dxa"/>
                  <w:tcBorders>
                    <w:top w:val="nil"/>
                    <w:left w:val="nil"/>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6"/>
                      <w:szCs w:val="16"/>
                    </w:rPr>
                  </w:pPr>
                  <w:r>
                    <w:rPr>
                      <w:rFonts w:hint="eastAsia" w:ascii="宋体" w:hAnsi="宋体" w:eastAsia="宋体" w:cs="宋体"/>
                      <w:i w:val="0"/>
                      <w:color w:val="000000"/>
                      <w:spacing w:val="0"/>
                      <w:w w:val="90"/>
                      <w:kern w:val="0"/>
                      <w:sz w:val="16"/>
                      <w:szCs w:val="16"/>
                      <w:u w:val="none"/>
                      <w:lang w:val="en-US" w:eastAsia="zh-CN" w:bidi="ar"/>
                    </w:rPr>
                    <w:t>其他社会保障和就业支出</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19,598.60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19,598.60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80" w:hRule="exact"/>
                <w:jc w:val="center"/>
              </w:trPr>
              <w:tc>
                <w:tcPr>
                  <w:tcW w:w="9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2089901</w:t>
                  </w:r>
                </w:p>
              </w:tc>
              <w:tc>
                <w:tcPr>
                  <w:tcW w:w="1635" w:type="dxa"/>
                  <w:tcBorders>
                    <w:top w:val="nil"/>
                    <w:left w:val="nil"/>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6"/>
                      <w:szCs w:val="16"/>
                    </w:rPr>
                  </w:pPr>
                  <w:r>
                    <w:rPr>
                      <w:rFonts w:hint="eastAsia" w:ascii="宋体" w:hAnsi="宋体" w:eastAsia="宋体" w:cs="宋体"/>
                      <w:i w:val="0"/>
                      <w:color w:val="000000"/>
                      <w:spacing w:val="1"/>
                      <w:w w:val="82"/>
                      <w:kern w:val="0"/>
                      <w:sz w:val="16"/>
                      <w:szCs w:val="16"/>
                      <w:u w:val="none"/>
                      <w:lang w:val="en-US" w:eastAsia="zh-CN" w:bidi="ar"/>
                    </w:rPr>
                    <w:t xml:space="preserve">  其他社会保障和就业支</w:t>
                  </w:r>
                  <w:r>
                    <w:rPr>
                      <w:rFonts w:hint="eastAsia" w:ascii="宋体" w:hAnsi="宋体" w:eastAsia="宋体" w:cs="宋体"/>
                      <w:i w:val="0"/>
                      <w:color w:val="000000"/>
                      <w:spacing w:val="0"/>
                      <w:w w:val="82"/>
                      <w:kern w:val="0"/>
                      <w:sz w:val="16"/>
                      <w:szCs w:val="16"/>
                      <w:u w:val="none"/>
                      <w:lang w:val="en-US" w:eastAsia="zh-CN" w:bidi="ar"/>
                    </w:rPr>
                    <w:t>出</w:t>
                  </w:r>
                </w:p>
              </w:tc>
              <w:tc>
                <w:tcPr>
                  <w:tcW w:w="7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19,598.60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19,598.60</w:t>
                  </w:r>
                </w:p>
              </w:tc>
              <w:tc>
                <w:tcPr>
                  <w:tcW w:w="921" w:type="dxa"/>
                  <w:gridSpan w:val="2"/>
                  <w:tcBorders>
                    <w:top w:val="nil"/>
                    <w:left w:val="nil"/>
                    <w:bottom w:val="single" w:color="000000" w:sz="4" w:space="0"/>
                    <w:right w:val="single" w:color="000000" w:sz="4" w:space="0"/>
                  </w:tcBorders>
                  <w:shd w:val="clear" w:color="auto" w:fill="auto"/>
                  <w:noWrap/>
                  <w:tcMar>
                    <w:top w:w="17" w:type="dxa"/>
                    <w:left w:w="17" w:type="dxa"/>
                    <w:right w:w="17" w:type="dxa"/>
                  </w:tcMar>
                  <w:tcFitText/>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bl>
          <w:p>
            <w:pPr>
              <w:widowControl/>
              <w:jc w:val="center"/>
              <w:textAlignment w:val="bottom"/>
              <w:rPr>
                <w:rFonts w:ascii="黑体" w:hAnsi="宋体" w:eastAsia="黑体" w:cs="黑体"/>
                <w:color w:val="000000"/>
                <w:sz w:val="40"/>
                <w:szCs w:val="40"/>
              </w:rPr>
            </w:pPr>
          </w:p>
        </w:tc>
      </w:tr>
      <w:tr>
        <w:tblPrEx>
          <w:tblCellMar>
            <w:top w:w="0" w:type="dxa"/>
            <w:left w:w="0" w:type="dxa"/>
            <w:bottom w:w="0" w:type="dxa"/>
            <w:right w:w="0" w:type="dxa"/>
          </w:tblCellMar>
        </w:tblPrEx>
        <w:trPr>
          <w:trHeight w:val="798" w:hRule="atLeast"/>
          <w:jc w:val="center"/>
        </w:trPr>
        <w:tc>
          <w:tcPr>
            <w:tcW w:w="9000" w:type="dxa"/>
            <w:gridSpan w:val="16"/>
            <w:tcBorders>
              <w:top w:val="nil"/>
              <w:left w:val="nil"/>
              <w:bottom w:val="nil"/>
              <w:right w:val="nil"/>
            </w:tcBorders>
            <w:shd w:val="clear" w:color="auto" w:fill="auto"/>
            <w:noWrap/>
            <w:tcMar>
              <w:top w:w="15" w:type="dxa"/>
              <w:left w:w="15" w:type="dxa"/>
              <w:right w:w="15" w:type="dxa"/>
            </w:tcMar>
            <w:vAlign w:val="center"/>
          </w:tcPr>
          <w:tbl>
            <w:tblPr>
              <w:tblStyle w:val="13"/>
              <w:tblW w:w="88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8"/>
              <w:gridCol w:w="1635"/>
              <w:gridCol w:w="799"/>
              <w:gridCol w:w="920"/>
              <w:gridCol w:w="921"/>
              <w:gridCol w:w="920"/>
              <w:gridCol w:w="921"/>
              <w:gridCol w:w="920"/>
              <w:gridCol w:w="9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8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w:t>
                  </w:r>
                </w:p>
              </w:tc>
              <w:tc>
                <w:tcPr>
                  <w:tcW w:w="1635" w:type="dxa"/>
                  <w:tcBorders>
                    <w:tl2br w:val="nil"/>
                    <w:tr2bl w:val="nil"/>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6"/>
                      <w:szCs w:val="16"/>
                    </w:rPr>
                  </w:pPr>
                  <w:r>
                    <w:rPr>
                      <w:rFonts w:hint="eastAsia" w:ascii="宋体" w:hAnsi="宋体" w:eastAsia="宋体" w:cs="宋体"/>
                      <w:i w:val="0"/>
                      <w:color w:val="000000"/>
                      <w:spacing w:val="0"/>
                      <w:w w:val="90"/>
                      <w:kern w:val="0"/>
                      <w:sz w:val="16"/>
                      <w:szCs w:val="16"/>
                      <w:u w:val="none"/>
                      <w:lang w:val="en-US" w:eastAsia="zh-CN" w:bidi="ar"/>
                    </w:rPr>
                    <w:t>医疗卫生与计划生育支出</w:t>
                  </w:r>
                </w:p>
              </w:tc>
              <w:tc>
                <w:tcPr>
                  <w:tcW w:w="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6,352.74</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6,352.74</w:t>
                  </w: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8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21011</w:t>
                  </w:r>
                </w:p>
              </w:tc>
              <w:tc>
                <w:tcPr>
                  <w:tcW w:w="16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行政事业单位医疗</w:t>
                  </w:r>
                </w:p>
              </w:tc>
              <w:tc>
                <w:tcPr>
                  <w:tcW w:w="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50.94</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50.94</w:t>
                  </w: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8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2101101</w:t>
                  </w:r>
                </w:p>
              </w:tc>
              <w:tc>
                <w:tcPr>
                  <w:tcW w:w="16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行政单位医疗</w:t>
                  </w:r>
                </w:p>
              </w:tc>
              <w:tc>
                <w:tcPr>
                  <w:tcW w:w="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50.94</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50.94</w:t>
                  </w: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8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21012</w:t>
                  </w:r>
                </w:p>
              </w:tc>
              <w:tc>
                <w:tcPr>
                  <w:tcW w:w="1635" w:type="dxa"/>
                  <w:tcBorders>
                    <w:tl2br w:val="nil"/>
                    <w:tr2bl w:val="nil"/>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6"/>
                      <w:szCs w:val="16"/>
                    </w:rPr>
                  </w:pPr>
                  <w:r>
                    <w:rPr>
                      <w:rFonts w:hint="eastAsia" w:ascii="宋体" w:hAnsi="宋体" w:eastAsia="宋体" w:cs="宋体"/>
                      <w:i w:val="0"/>
                      <w:color w:val="000000"/>
                      <w:spacing w:val="0"/>
                      <w:w w:val="71"/>
                      <w:kern w:val="0"/>
                      <w:sz w:val="16"/>
                      <w:szCs w:val="16"/>
                      <w:u w:val="none"/>
                      <w:lang w:val="en-US" w:eastAsia="zh-CN" w:bidi="ar"/>
                    </w:rPr>
                    <w:t>财政对基本医疗保险基金的补助</w:t>
                  </w:r>
                </w:p>
              </w:tc>
              <w:tc>
                <w:tcPr>
                  <w:tcW w:w="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6,301.80</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6,301.80</w:t>
                  </w: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8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2101202</w:t>
                  </w:r>
                </w:p>
              </w:tc>
              <w:tc>
                <w:tcPr>
                  <w:tcW w:w="1635" w:type="dxa"/>
                  <w:tcBorders>
                    <w:tl2br w:val="nil"/>
                    <w:tr2bl w:val="nil"/>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6"/>
                      <w:szCs w:val="16"/>
                    </w:rPr>
                  </w:pPr>
                  <w:r>
                    <w:rPr>
                      <w:rFonts w:hint="eastAsia" w:ascii="宋体" w:hAnsi="宋体" w:eastAsia="宋体" w:cs="宋体"/>
                      <w:i w:val="0"/>
                      <w:color w:val="000000"/>
                      <w:spacing w:val="0"/>
                      <w:w w:val="52"/>
                      <w:kern w:val="0"/>
                      <w:sz w:val="16"/>
                      <w:szCs w:val="16"/>
                      <w:u w:val="none"/>
                      <w:lang w:val="en-US" w:eastAsia="zh-CN" w:bidi="ar"/>
                    </w:rPr>
                    <w:t xml:space="preserve">  财政对城乡居民基本医疗保险基金的补助</w:t>
                  </w:r>
                </w:p>
              </w:tc>
              <w:tc>
                <w:tcPr>
                  <w:tcW w:w="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6,301.80</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6,301.80</w:t>
                  </w: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8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w:t>
                  </w:r>
                </w:p>
              </w:tc>
              <w:tc>
                <w:tcPr>
                  <w:tcW w:w="16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城乡社区支出</w:t>
                  </w:r>
                </w:p>
              </w:tc>
              <w:tc>
                <w:tcPr>
                  <w:tcW w:w="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8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21208</w:t>
                  </w:r>
                </w:p>
              </w:tc>
              <w:tc>
                <w:tcPr>
                  <w:tcW w:w="1635" w:type="dxa"/>
                  <w:tcBorders>
                    <w:tl2br w:val="nil"/>
                    <w:tr2bl w:val="nil"/>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6"/>
                      <w:szCs w:val="16"/>
                    </w:rPr>
                  </w:pPr>
                  <w:r>
                    <w:rPr>
                      <w:rFonts w:hint="eastAsia" w:ascii="宋体" w:hAnsi="宋体" w:eastAsia="宋体" w:cs="宋体"/>
                      <w:i w:val="0"/>
                      <w:color w:val="000000"/>
                      <w:spacing w:val="1"/>
                      <w:w w:val="39"/>
                      <w:kern w:val="0"/>
                      <w:sz w:val="16"/>
                      <w:szCs w:val="16"/>
                      <w:u w:val="none"/>
                      <w:lang w:val="en-US" w:eastAsia="zh-CN" w:bidi="ar"/>
                    </w:rPr>
                    <w:t>国有土地使用权出让收入及对应专项债务收入安排的支</w:t>
                  </w:r>
                  <w:r>
                    <w:rPr>
                      <w:rFonts w:hint="eastAsia" w:ascii="宋体" w:hAnsi="宋体" w:eastAsia="宋体" w:cs="宋体"/>
                      <w:i w:val="0"/>
                      <w:color w:val="000000"/>
                      <w:spacing w:val="0"/>
                      <w:w w:val="39"/>
                      <w:kern w:val="0"/>
                      <w:sz w:val="16"/>
                      <w:szCs w:val="16"/>
                      <w:u w:val="none"/>
                      <w:lang w:val="en-US" w:eastAsia="zh-CN" w:bidi="ar"/>
                    </w:rPr>
                    <w:t>出</w:t>
                  </w:r>
                </w:p>
              </w:tc>
              <w:tc>
                <w:tcPr>
                  <w:tcW w:w="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8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2120805</w:t>
                  </w:r>
                </w:p>
              </w:tc>
              <w:tc>
                <w:tcPr>
                  <w:tcW w:w="1635" w:type="dxa"/>
                  <w:tcBorders>
                    <w:tl2br w:val="nil"/>
                    <w:tr2bl w:val="nil"/>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6"/>
                      <w:szCs w:val="16"/>
                    </w:rPr>
                  </w:pPr>
                  <w:r>
                    <w:rPr>
                      <w:rFonts w:hint="eastAsia" w:ascii="宋体" w:hAnsi="宋体" w:eastAsia="宋体" w:cs="宋体"/>
                      <w:i w:val="0"/>
                      <w:color w:val="000000"/>
                      <w:spacing w:val="0"/>
                      <w:w w:val="99"/>
                      <w:kern w:val="0"/>
                      <w:sz w:val="16"/>
                      <w:szCs w:val="16"/>
                      <w:u w:val="none"/>
                      <w:lang w:val="en-US" w:eastAsia="zh-CN" w:bidi="ar"/>
                    </w:rPr>
                    <w:t xml:space="preserve">  补助被征地农民支出</w:t>
                  </w:r>
                </w:p>
              </w:tc>
              <w:tc>
                <w:tcPr>
                  <w:tcW w:w="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8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w:t>
                  </w:r>
                </w:p>
              </w:tc>
              <w:tc>
                <w:tcPr>
                  <w:tcW w:w="16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农林水支出</w:t>
                  </w:r>
                </w:p>
              </w:tc>
              <w:tc>
                <w:tcPr>
                  <w:tcW w:w="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169.00</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169.00</w:t>
                  </w: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8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21307</w:t>
                  </w:r>
                </w:p>
              </w:tc>
              <w:tc>
                <w:tcPr>
                  <w:tcW w:w="16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农村综合改革</w:t>
                  </w:r>
                </w:p>
              </w:tc>
              <w:tc>
                <w:tcPr>
                  <w:tcW w:w="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169.00</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169.00</w:t>
                  </w: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8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2130705</w:t>
                  </w:r>
                </w:p>
              </w:tc>
              <w:tc>
                <w:tcPr>
                  <w:tcW w:w="1635" w:type="dxa"/>
                  <w:tcBorders>
                    <w:tl2br w:val="nil"/>
                    <w:tr2bl w:val="nil"/>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6"/>
                      <w:szCs w:val="16"/>
                    </w:rPr>
                  </w:pPr>
                  <w:r>
                    <w:rPr>
                      <w:rFonts w:hint="eastAsia" w:ascii="宋体" w:hAnsi="宋体" w:eastAsia="宋体" w:cs="宋体"/>
                      <w:i w:val="0"/>
                      <w:color w:val="000000"/>
                      <w:w w:val="66"/>
                      <w:kern w:val="0"/>
                      <w:sz w:val="16"/>
                      <w:szCs w:val="16"/>
                      <w:u w:val="none"/>
                      <w:lang w:val="en-US" w:eastAsia="zh-CN" w:bidi="ar"/>
                    </w:rPr>
                    <w:t xml:space="preserve">  对村民委员会和村党支部的补助</w:t>
                  </w:r>
                </w:p>
              </w:tc>
              <w:tc>
                <w:tcPr>
                  <w:tcW w:w="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169.00</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169.00</w:t>
                  </w: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8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221</w:t>
                  </w:r>
                </w:p>
              </w:tc>
              <w:tc>
                <w:tcPr>
                  <w:tcW w:w="16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住房保障支出</w:t>
                  </w:r>
                </w:p>
              </w:tc>
              <w:tc>
                <w:tcPr>
                  <w:tcW w:w="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85.47</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85.47</w:t>
                  </w: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8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22102</w:t>
                  </w:r>
                </w:p>
              </w:tc>
              <w:tc>
                <w:tcPr>
                  <w:tcW w:w="16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住房改革支出</w:t>
                  </w:r>
                </w:p>
              </w:tc>
              <w:tc>
                <w:tcPr>
                  <w:tcW w:w="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85.47</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85.47</w:t>
                  </w: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exact"/>
                <w:jc w:val="center"/>
              </w:trPr>
              <w:tc>
                <w:tcPr>
                  <w:tcW w:w="8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2210201</w:t>
                  </w:r>
                </w:p>
              </w:tc>
              <w:tc>
                <w:tcPr>
                  <w:tcW w:w="163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住房公积金</w:t>
                  </w:r>
                </w:p>
              </w:tc>
              <w:tc>
                <w:tcPr>
                  <w:tcW w:w="7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85.47</w:t>
                  </w:r>
                </w:p>
              </w:tc>
              <w:tc>
                <w:tcPr>
                  <w:tcW w:w="92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85.47</w:t>
                  </w: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l2br w:val="nil"/>
                    <w:tr2bl w:val="nil"/>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bl>
          <w:p>
            <w:pPr>
              <w:widowControl/>
              <w:spacing w:after="0" w:line="240" w:lineRule="atLeast"/>
              <w:jc w:val="left"/>
              <w:rPr>
                <w:rFonts w:hint="eastAsia" w:ascii="黑体" w:hAnsi="宋体" w:eastAsia="黑体" w:cs="黑体"/>
                <w:color w:val="000000"/>
                <w:kern w:val="0"/>
                <w:sz w:val="40"/>
                <w:szCs w:val="40"/>
              </w:rPr>
            </w:pPr>
            <w:r>
              <w:rPr>
                <w:rFonts w:hint="eastAsia" w:ascii="宋体" w:hAnsi="宋体" w:cs="宋体"/>
                <w:color w:val="000000"/>
                <w:kern w:val="0"/>
                <w:szCs w:val="21"/>
              </w:rPr>
              <w:t>注：本表反映部门本年度取得的各项收入情况。</w:t>
            </w:r>
          </w:p>
          <w:p>
            <w:pPr>
              <w:widowControl/>
              <w:spacing w:after="0" w:line="240" w:lineRule="atLeast"/>
              <w:jc w:val="center"/>
              <w:rPr>
                <w:rFonts w:hint="eastAsia" w:ascii="黑体" w:hAnsi="宋体" w:eastAsia="黑体" w:cs="黑体"/>
                <w:color w:val="000000"/>
                <w:kern w:val="0"/>
                <w:sz w:val="40"/>
                <w:szCs w:val="40"/>
              </w:rPr>
            </w:pPr>
          </w:p>
          <w:p>
            <w:pPr>
              <w:widowControl/>
              <w:spacing w:after="0" w:line="240" w:lineRule="atLeast"/>
              <w:jc w:val="center"/>
              <w:rPr>
                <w:rFonts w:hint="eastAsia" w:ascii="黑体" w:hAnsi="宋体" w:eastAsia="黑体" w:cs="黑体"/>
                <w:color w:val="000000"/>
                <w:kern w:val="0"/>
                <w:sz w:val="40"/>
                <w:szCs w:val="40"/>
              </w:rPr>
            </w:pPr>
          </w:p>
          <w:p>
            <w:pPr>
              <w:widowControl/>
              <w:spacing w:after="0" w:line="240" w:lineRule="atLeast"/>
              <w:jc w:val="center"/>
              <w:rPr>
                <w:rFonts w:hint="eastAsia" w:ascii="黑体" w:hAnsi="宋体" w:eastAsia="黑体" w:cs="黑体"/>
                <w:color w:val="000000"/>
                <w:kern w:val="0"/>
                <w:sz w:val="40"/>
                <w:szCs w:val="40"/>
              </w:rPr>
            </w:pPr>
          </w:p>
          <w:p>
            <w:pPr>
              <w:widowControl/>
              <w:spacing w:after="0" w:line="240" w:lineRule="atLeast"/>
              <w:jc w:val="center"/>
              <w:rPr>
                <w:rFonts w:hint="eastAsia" w:ascii="黑体" w:hAnsi="宋体" w:eastAsia="黑体" w:cs="黑体"/>
                <w:color w:val="000000"/>
                <w:kern w:val="0"/>
                <w:sz w:val="40"/>
                <w:szCs w:val="40"/>
              </w:rPr>
            </w:pPr>
          </w:p>
          <w:p>
            <w:pPr>
              <w:widowControl/>
              <w:spacing w:after="0" w:line="240" w:lineRule="atLeast"/>
              <w:jc w:val="center"/>
              <w:rPr>
                <w:rFonts w:hint="eastAsia" w:ascii="黑体" w:hAnsi="宋体" w:eastAsia="黑体" w:cs="黑体"/>
                <w:color w:val="000000"/>
                <w:kern w:val="0"/>
                <w:sz w:val="40"/>
                <w:szCs w:val="40"/>
              </w:rPr>
            </w:pPr>
          </w:p>
          <w:p>
            <w:pPr>
              <w:widowControl/>
              <w:spacing w:after="0" w:line="240" w:lineRule="atLeast"/>
              <w:jc w:val="center"/>
              <w:rPr>
                <w:rFonts w:hint="eastAsia" w:ascii="黑体" w:hAnsi="宋体" w:eastAsia="黑体" w:cs="黑体"/>
                <w:color w:val="000000"/>
                <w:kern w:val="0"/>
                <w:sz w:val="40"/>
                <w:szCs w:val="40"/>
              </w:rPr>
            </w:pPr>
          </w:p>
          <w:p>
            <w:pPr>
              <w:widowControl/>
              <w:spacing w:after="0" w:line="240" w:lineRule="atLeast"/>
              <w:jc w:val="center"/>
              <w:rPr>
                <w:rFonts w:hint="eastAsia" w:ascii="黑体" w:hAnsi="宋体" w:eastAsia="黑体" w:cs="黑体"/>
                <w:color w:val="000000"/>
                <w:kern w:val="0"/>
                <w:sz w:val="40"/>
                <w:szCs w:val="40"/>
              </w:rPr>
            </w:pPr>
          </w:p>
          <w:p>
            <w:pPr>
              <w:widowControl/>
              <w:spacing w:after="0" w:line="240" w:lineRule="atLeast"/>
              <w:jc w:val="center"/>
              <w:rPr>
                <w:rFonts w:hint="eastAsia" w:ascii="黑体" w:hAnsi="宋体" w:eastAsia="黑体" w:cs="黑体"/>
                <w:color w:val="000000"/>
                <w:kern w:val="0"/>
                <w:sz w:val="40"/>
                <w:szCs w:val="40"/>
              </w:rPr>
            </w:pPr>
          </w:p>
          <w:p>
            <w:pPr>
              <w:widowControl/>
              <w:spacing w:after="0" w:line="240" w:lineRule="atLeast"/>
              <w:jc w:val="center"/>
              <w:rPr>
                <w:rFonts w:hint="eastAsia" w:ascii="黑体" w:hAnsi="宋体" w:eastAsia="黑体" w:cs="黑体"/>
                <w:color w:val="000000"/>
                <w:kern w:val="0"/>
                <w:sz w:val="40"/>
                <w:szCs w:val="40"/>
              </w:rPr>
            </w:pPr>
          </w:p>
          <w:p>
            <w:pPr>
              <w:widowControl/>
              <w:spacing w:after="0" w:line="240" w:lineRule="atLeast"/>
              <w:jc w:val="center"/>
              <w:rPr>
                <w:rFonts w:hint="eastAsia" w:ascii="黑体" w:hAnsi="宋体" w:eastAsia="黑体" w:cs="黑体"/>
                <w:color w:val="000000"/>
                <w:kern w:val="0"/>
                <w:sz w:val="40"/>
                <w:szCs w:val="40"/>
              </w:rPr>
            </w:pPr>
          </w:p>
          <w:p>
            <w:pPr>
              <w:widowControl/>
              <w:spacing w:after="0" w:line="240" w:lineRule="atLeast"/>
              <w:jc w:val="center"/>
              <w:rPr>
                <w:rFonts w:hint="eastAsia" w:ascii="黑体" w:hAnsi="宋体" w:eastAsia="黑体" w:cs="黑体"/>
                <w:color w:val="000000"/>
                <w:kern w:val="0"/>
                <w:sz w:val="40"/>
                <w:szCs w:val="40"/>
              </w:rPr>
            </w:pPr>
          </w:p>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jc w:val="center"/>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51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jc w:val="center"/>
        </w:trPr>
        <w:tc>
          <w:tcPr>
            <w:tcW w:w="6502"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r>
              <w:rPr>
                <w:rFonts w:hint="eastAsia" w:ascii="宋体" w:hAnsi="宋体" w:cs="宋体"/>
                <w:color w:val="000000"/>
                <w:kern w:val="0"/>
                <w:szCs w:val="21"/>
              </w:rPr>
              <w:t>部门：廊坊市大厂回族自治县人力资源和社会保障局（本级）</w:t>
            </w:r>
          </w:p>
        </w:tc>
        <w:tc>
          <w:tcPr>
            <w:tcW w:w="2498"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jc w:val="center"/>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jc w:val="center"/>
        </w:trPr>
        <w:tc>
          <w:tcPr>
            <w:tcW w:w="98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jc w:val="center"/>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2" w:hRule="exact"/>
          <w:jc w:val="center"/>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b/>
                <w:color w:val="000000"/>
                <w:sz w:val="21"/>
                <w:szCs w:val="21"/>
              </w:rPr>
            </w:pPr>
            <w:r>
              <w:rPr>
                <w:rFonts w:hint="eastAsia" w:ascii="宋体" w:hAnsi="宋体" w:eastAsia="宋体" w:cs="宋体"/>
                <w:b/>
                <w:i w:val="0"/>
                <w:color w:val="000000"/>
                <w:kern w:val="0"/>
                <w:sz w:val="21"/>
                <w:szCs w:val="21"/>
                <w:u w:val="none"/>
                <w:lang w:val="en-US" w:eastAsia="zh-CN" w:bidi="ar"/>
              </w:rPr>
              <w:t>95,237.02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b/>
                <w:color w:val="000000"/>
                <w:sz w:val="21"/>
                <w:szCs w:val="21"/>
              </w:rPr>
            </w:pPr>
            <w:r>
              <w:rPr>
                <w:rFonts w:hint="eastAsia" w:ascii="宋体" w:hAnsi="宋体" w:eastAsia="宋体" w:cs="宋体"/>
                <w:b/>
                <w:i w:val="0"/>
                <w:color w:val="000000"/>
                <w:kern w:val="0"/>
                <w:sz w:val="21"/>
                <w:szCs w:val="21"/>
                <w:u w:val="none"/>
                <w:lang w:val="en-US" w:eastAsia="zh-CN" w:bidi="ar"/>
              </w:rPr>
              <w:t>1,870.96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b/>
                <w:color w:val="000000"/>
                <w:sz w:val="21"/>
                <w:szCs w:val="21"/>
              </w:rPr>
            </w:pPr>
            <w:r>
              <w:rPr>
                <w:rFonts w:hint="eastAsia" w:ascii="宋体" w:hAnsi="宋体" w:eastAsia="宋体" w:cs="宋体"/>
                <w:b/>
                <w:i w:val="0"/>
                <w:color w:val="000000"/>
                <w:kern w:val="0"/>
                <w:sz w:val="21"/>
                <w:szCs w:val="21"/>
                <w:u w:val="none"/>
                <w:lang w:val="en-US" w:eastAsia="zh-CN" w:bidi="ar"/>
              </w:rPr>
              <w:t>93,366.06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b/>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b/>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b/>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一般公共服务支出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20.00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20.00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20110</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人力资源事务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20.00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20.00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2011006</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军队转业干部安置</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20.00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20.00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社会保障和就业支出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33,833.18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1,734.55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32,098.64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人力资源和社会保障管理事务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1,968.39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1,591.56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376.83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2080101</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行政运行</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1,591.56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1,591.56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2080104</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综合业务管理</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118.06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118.06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2080106</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就业管理事务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54.80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54.80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2080107</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社会保险业务管理事务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19.80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19.80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2080108</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信息化建设</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14.85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14.85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2080109</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社会保险经办机构</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151.84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151.84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2080110</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劳动关系和维权</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7.89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7.89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2080199</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其他人力资源和社会保障管理事务支出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9.59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9.59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20805</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行政事业单位离退休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5,842.99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142.99</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5,700.00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2080501</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归口管理的行政单位离退休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1,600.00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1,600.00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2080502</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事业单位离退休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4,100.00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4,100.00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2080505</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22"/>
                <w:szCs w:val="22"/>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 xml:space="preserve"> 机关事业单位基</w:t>
            </w:r>
            <w:r>
              <w:rPr>
                <w:rFonts w:hint="eastAsia" w:ascii="宋体" w:hAnsi="宋体" w:eastAsia="宋体" w:cs="宋体"/>
                <w:i w:val="0"/>
                <w:color w:val="000000"/>
                <w:kern w:val="0"/>
                <w:sz w:val="22"/>
                <w:szCs w:val="22"/>
                <w:u w:val="none"/>
                <w:lang w:val="en-US" w:eastAsia="zh-CN" w:bidi="ar"/>
              </w:rPr>
              <w:t>本养老保险缴费支出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142.99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142.99</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20807</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16"/>
                <w:szCs w:val="16"/>
                <w:u w:val="none"/>
                <w:lang w:val="en-US" w:eastAsia="zh-CN" w:bidi="ar"/>
              </w:rPr>
              <w:t>就业补助</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496.00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496.00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2080799</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  其他就业补助支出</w:t>
            </w: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496.00</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496.00</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20825</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其他生活救助</w:t>
            </w: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16.00</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16.00</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2082501</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  其他城市生活救助</w:t>
            </w: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16.00</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16.00</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20826</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财政对基本养老保险基金的补助</w:t>
            </w: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5,915.47</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5,915.47</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2082602</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  财政对城乡居民基本养老保险基金的补助</w:t>
            </w: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5,915.47</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5,915.47</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20899</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其他社会保障和就业支出</w:t>
            </w: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19,594.34</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19,594.34</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2089901</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  其他社会保障和就业支出</w:t>
            </w: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19,594.34</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19,594.34</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210</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医疗卫生与计划生育支出</w:t>
            </w: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6,352.74</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50.94</w:t>
            </w: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6,301.80</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21011</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行政事业单位医疗</w:t>
            </w: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50.94</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50.94</w:t>
            </w: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2101101</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  行政单位医疗</w:t>
            </w: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50.94</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50.94</w:t>
            </w: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21012</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财政对基本医疗保险基金的补助</w:t>
            </w: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6,301.80</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6,301.80</w:t>
            </w: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2101202</w:t>
            </w:r>
          </w:p>
        </w:tc>
        <w:tc>
          <w:tcPr>
            <w:tcW w:w="151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  财政对城乡居民基本医疗保险基金的补助</w:t>
            </w:r>
          </w:p>
        </w:tc>
        <w:tc>
          <w:tcPr>
            <w:tcW w:w="108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6,301.80</w:t>
            </w:r>
          </w:p>
        </w:tc>
        <w:tc>
          <w:tcPr>
            <w:tcW w:w="108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6,301.80</w:t>
            </w:r>
          </w:p>
        </w:tc>
        <w:tc>
          <w:tcPr>
            <w:tcW w:w="108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212</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城乡社区支出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54,776.62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54,776.62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21208</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国有土地使用权出让收入及对应专项债务收入安排的支出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54,776.62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54,776.62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2120805</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  补助被征地农民支出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54,776.62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54,776.62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农林水支出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169.00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169.00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21307</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农村综合改革</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169.00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169.00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2130705</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  对村民委员会和村党支部的补助</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169.00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169.00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221</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住房保障支出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85.47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85.47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22102</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住房改革支出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85.47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85.47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454" w:hRule="exact"/>
          <w:jc w:val="center"/>
        </w:trPr>
        <w:tc>
          <w:tcPr>
            <w:tcW w:w="98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2210201</w:t>
            </w:r>
          </w:p>
        </w:tc>
        <w:tc>
          <w:tcPr>
            <w:tcW w:w="151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  住房公积金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85.47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85.47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21"/>
                <w:szCs w:val="21"/>
              </w:rPr>
            </w:pPr>
          </w:p>
        </w:tc>
      </w:tr>
      <w:tr>
        <w:tblPrEx>
          <w:tblCellMar>
            <w:top w:w="0" w:type="dxa"/>
            <w:left w:w="0" w:type="dxa"/>
            <w:bottom w:w="0" w:type="dxa"/>
            <w:right w:w="0" w:type="dxa"/>
          </w:tblCellMar>
        </w:tblPrEx>
        <w:trPr>
          <w:trHeight w:val="748" w:hRule="atLeast"/>
          <w:jc w:val="center"/>
        </w:trPr>
        <w:tc>
          <w:tcPr>
            <w:tcW w:w="9000" w:type="dxa"/>
            <w:gridSpan w:val="1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962" w:type="dxa"/>
            <w:gridSpan w:val="8"/>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r>
              <w:rPr>
                <w:rFonts w:hint="eastAsia" w:ascii="宋体" w:hAnsi="宋体" w:cs="宋体"/>
                <w:color w:val="000000"/>
                <w:kern w:val="0"/>
                <w:sz w:val="20"/>
                <w:szCs w:val="20"/>
              </w:rPr>
              <w:t>部门：廊坊市大厂回族自治县人力资源和社会保障局（本级）</w:t>
            </w: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40,473.46</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20.00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20.00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33,833.18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33,833.18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6,352.74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6,352.74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169.00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169.00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85.47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85.47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95,250.08</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95,237.02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40,460.40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42.44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55.50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55.50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42.44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334"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95,292.52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95,292.52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40,515.90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5739"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r>
              <w:rPr>
                <w:rFonts w:hint="eastAsia" w:ascii="宋体" w:hAnsi="宋体" w:cs="宋体"/>
                <w:color w:val="000000"/>
                <w:kern w:val="0"/>
                <w:szCs w:val="21"/>
              </w:rPr>
              <w:t>部门：廊坊市大厂回族自治县人力资源和社会保障局（本级）</w:t>
            </w: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exac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exac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b/>
                <w:color w:val="000000"/>
                <w:szCs w:val="21"/>
              </w:rPr>
            </w:pPr>
            <w:r>
              <w:rPr>
                <w:rFonts w:hint="eastAsia" w:ascii="宋体" w:hAnsi="宋体" w:eastAsia="宋体" w:cs="宋体"/>
                <w:b/>
                <w:i w:val="0"/>
                <w:color w:val="000000"/>
                <w:kern w:val="0"/>
                <w:sz w:val="22"/>
                <w:szCs w:val="22"/>
                <w:u w:val="none"/>
                <w:lang w:val="en-US" w:eastAsia="zh-CN" w:bidi="ar"/>
              </w:rPr>
              <w:t>40,460.40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b/>
                <w:color w:val="000000"/>
                <w:szCs w:val="21"/>
              </w:rPr>
            </w:pPr>
            <w:r>
              <w:rPr>
                <w:rFonts w:hint="eastAsia" w:ascii="宋体" w:hAnsi="宋体" w:eastAsia="宋体" w:cs="宋体"/>
                <w:b/>
                <w:i w:val="0"/>
                <w:color w:val="000000"/>
                <w:kern w:val="0"/>
                <w:sz w:val="22"/>
                <w:szCs w:val="22"/>
                <w:u w:val="none"/>
                <w:lang w:val="en-US" w:eastAsia="zh-CN" w:bidi="ar"/>
              </w:rPr>
              <w:t>1,870.96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b/>
                <w:color w:val="000000"/>
                <w:szCs w:val="21"/>
              </w:rPr>
            </w:pPr>
            <w:r>
              <w:rPr>
                <w:rFonts w:hint="eastAsia" w:ascii="宋体" w:hAnsi="宋体" w:eastAsia="宋体" w:cs="宋体"/>
                <w:b/>
                <w:i w:val="0"/>
                <w:color w:val="000000"/>
                <w:kern w:val="0"/>
                <w:sz w:val="22"/>
                <w:szCs w:val="22"/>
                <w:u w:val="none"/>
                <w:lang w:val="en-US" w:eastAsia="zh-CN" w:bidi="ar"/>
              </w:rPr>
              <w:t>38,589.44</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20.00</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人力资源事务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20.00</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2011006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 xml:space="preserve">  军队转业干部安置</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20.00</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33,833.18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1,734.55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32,098.64</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w:t>
            </w:r>
          </w:p>
        </w:tc>
        <w:tc>
          <w:tcPr>
            <w:tcW w:w="2109" w:type="dxa"/>
            <w:tcBorders>
              <w:top w:val="nil"/>
              <w:left w:val="nil"/>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8"/>
                <w:szCs w:val="18"/>
              </w:rPr>
            </w:pPr>
            <w:r>
              <w:rPr>
                <w:rFonts w:hint="eastAsia" w:ascii="宋体" w:hAnsi="宋体" w:eastAsia="宋体" w:cs="宋体"/>
                <w:i w:val="0"/>
                <w:color w:val="000000"/>
                <w:spacing w:val="0"/>
                <w:w w:val="88"/>
                <w:kern w:val="0"/>
                <w:sz w:val="18"/>
                <w:szCs w:val="18"/>
                <w:u w:val="none"/>
                <w:lang w:val="en-US" w:eastAsia="zh-CN" w:bidi="ar"/>
              </w:rPr>
              <w:t>人力资源和社会保障管理事务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1,968.39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1,591.56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376.83</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 xml:space="preserve">  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1,591.56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1,591.56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 xml:space="preserve">  综合业务管理</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118.06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118.06</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 xml:space="preserve">  就业管理事务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54.80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54.80</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 xml:space="preserve">  社会保险业务管理事务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19.80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19.80</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 xml:space="preserve">  信息化建设</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14.85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14.85</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2080109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 xml:space="preserve">  社会保险经办机构</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151.84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151.84</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 xml:space="preserve">  劳动关系和维权</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7.89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7.89</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2080199</w:t>
            </w:r>
          </w:p>
        </w:tc>
        <w:tc>
          <w:tcPr>
            <w:tcW w:w="2109" w:type="dxa"/>
            <w:tcBorders>
              <w:top w:val="nil"/>
              <w:left w:val="nil"/>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8"/>
                <w:szCs w:val="18"/>
              </w:rPr>
            </w:pPr>
            <w:r>
              <w:rPr>
                <w:rFonts w:hint="eastAsia" w:ascii="宋体" w:hAnsi="宋体" w:eastAsia="宋体" w:cs="宋体"/>
                <w:i w:val="0"/>
                <w:color w:val="000000"/>
                <w:spacing w:val="1"/>
                <w:w w:val="63"/>
                <w:kern w:val="0"/>
                <w:sz w:val="18"/>
                <w:szCs w:val="18"/>
                <w:u w:val="none"/>
                <w:lang w:val="en-US" w:eastAsia="zh-CN" w:bidi="ar"/>
              </w:rPr>
              <w:t xml:space="preserve">  其他人力资源和社会保障管理事务支</w:t>
            </w:r>
            <w:r>
              <w:rPr>
                <w:rFonts w:hint="eastAsia" w:ascii="宋体" w:hAnsi="宋体" w:eastAsia="宋体" w:cs="宋体"/>
                <w:i w:val="0"/>
                <w:color w:val="000000"/>
                <w:spacing w:val="0"/>
                <w:w w:val="63"/>
                <w:kern w:val="0"/>
                <w:sz w:val="18"/>
                <w:szCs w:val="18"/>
                <w:u w:val="none"/>
                <w:lang w:val="en-US" w:eastAsia="zh-CN" w:bidi="ar"/>
              </w:rPr>
              <w:t>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9.59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9.59</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5,842.99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142.99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5,700.00</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2080501</w:t>
            </w:r>
          </w:p>
        </w:tc>
        <w:tc>
          <w:tcPr>
            <w:tcW w:w="2109" w:type="dxa"/>
            <w:tcBorders>
              <w:top w:val="nil"/>
              <w:left w:val="nil"/>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8"/>
                <w:szCs w:val="18"/>
              </w:rPr>
            </w:pPr>
            <w:r>
              <w:rPr>
                <w:rFonts w:hint="eastAsia" w:ascii="宋体" w:hAnsi="宋体" w:eastAsia="宋体" w:cs="宋体"/>
                <w:i w:val="0"/>
                <w:color w:val="000000"/>
                <w:spacing w:val="0"/>
                <w:w w:val="88"/>
                <w:kern w:val="0"/>
                <w:sz w:val="18"/>
                <w:szCs w:val="18"/>
                <w:u w:val="none"/>
                <w:lang w:val="en-US" w:eastAsia="zh-CN" w:bidi="ar"/>
              </w:rPr>
              <w:t xml:space="preserve">  归口管理的行政单位离退休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1,600.00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1,600.00</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2080502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 xml:space="preserve">  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4,100.00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4,100.00</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2080505</w:t>
            </w:r>
          </w:p>
        </w:tc>
        <w:tc>
          <w:tcPr>
            <w:tcW w:w="2109" w:type="dxa"/>
            <w:tcBorders>
              <w:top w:val="nil"/>
              <w:left w:val="nil"/>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8"/>
                <w:szCs w:val="18"/>
              </w:rPr>
            </w:pPr>
            <w:r>
              <w:rPr>
                <w:rFonts w:hint="eastAsia" w:ascii="宋体" w:hAnsi="宋体" w:eastAsia="宋体" w:cs="宋体"/>
                <w:i w:val="0"/>
                <w:color w:val="000000"/>
                <w:spacing w:val="0"/>
                <w:w w:val="67"/>
                <w:kern w:val="0"/>
                <w:sz w:val="18"/>
                <w:szCs w:val="18"/>
                <w:u w:val="none"/>
                <w:lang w:val="en-US" w:eastAsia="zh-CN" w:bidi="ar"/>
              </w:rPr>
              <w:t xml:space="preserve">  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142.99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142.99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就业补助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496.00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496.00</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2080799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 xml:space="preserve">  其他就业补助支出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496.00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496.00</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20825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其他生活救助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16.00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16.00</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2082501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 xml:space="preserve">  其他城市生活救助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16.00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16.00</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20826</w:t>
            </w:r>
          </w:p>
        </w:tc>
        <w:tc>
          <w:tcPr>
            <w:tcW w:w="2109" w:type="dxa"/>
            <w:tcBorders>
              <w:top w:val="nil"/>
              <w:left w:val="nil"/>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8"/>
                <w:szCs w:val="18"/>
              </w:rPr>
            </w:pPr>
            <w:r>
              <w:rPr>
                <w:rFonts w:hint="eastAsia" w:ascii="宋体" w:hAnsi="宋体" w:eastAsia="宋体" w:cs="宋体"/>
                <w:i w:val="0"/>
                <w:color w:val="000000"/>
                <w:spacing w:val="1"/>
                <w:w w:val="81"/>
                <w:kern w:val="0"/>
                <w:sz w:val="18"/>
                <w:szCs w:val="18"/>
                <w:u w:val="none"/>
                <w:lang w:val="en-US" w:eastAsia="zh-CN" w:bidi="ar"/>
              </w:rPr>
              <w:t>财政对基本养老保险基金的补</w:t>
            </w:r>
            <w:r>
              <w:rPr>
                <w:rFonts w:hint="eastAsia" w:ascii="宋体" w:hAnsi="宋体" w:eastAsia="宋体" w:cs="宋体"/>
                <w:i w:val="0"/>
                <w:color w:val="000000"/>
                <w:spacing w:val="0"/>
                <w:w w:val="81"/>
                <w:kern w:val="0"/>
                <w:sz w:val="18"/>
                <w:szCs w:val="18"/>
                <w:u w:val="none"/>
                <w:lang w:val="en-US" w:eastAsia="zh-CN" w:bidi="ar"/>
              </w:rPr>
              <w:t>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5,915.47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5,915.47</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7" w:type="dxa"/>
              <w:left w:w="17" w:type="dxa"/>
              <w:right w:w="17" w:type="dxa"/>
            </w:tcMar>
            <w:vAlign w:val="center"/>
          </w:tcPr>
          <w:p>
            <w:pPr>
              <w:keepNext w:val="0"/>
              <w:keepLines w:val="0"/>
              <w:widowControl/>
              <w:suppressLineNumbers w:val="0"/>
              <w:spacing w:line="360" w:lineRule="auto"/>
              <w:jc w:val="left"/>
              <w:textAlignment w:val="center"/>
              <w:rPr>
                <w:rFonts w:ascii="宋体" w:hAnsi="宋体" w:cs="宋体"/>
                <w:color w:val="000000"/>
                <w:spacing w:val="0"/>
                <w:w w:val="100"/>
                <w:szCs w:val="21"/>
              </w:rPr>
            </w:pPr>
            <w:r>
              <w:rPr>
                <w:rFonts w:hint="eastAsia" w:ascii="宋体" w:hAnsi="宋体" w:eastAsia="宋体" w:cs="宋体"/>
                <w:i w:val="0"/>
                <w:color w:val="000000"/>
                <w:spacing w:val="0"/>
                <w:w w:val="100"/>
                <w:kern w:val="0"/>
                <w:sz w:val="22"/>
                <w:szCs w:val="22"/>
                <w:u w:val="none"/>
                <w:lang w:val="en-US" w:eastAsia="zh-CN" w:bidi="ar"/>
              </w:rPr>
              <w:t>2082602</w:t>
            </w:r>
          </w:p>
        </w:tc>
        <w:tc>
          <w:tcPr>
            <w:tcW w:w="2109" w:type="dxa"/>
            <w:tcBorders>
              <w:top w:val="nil"/>
              <w:left w:val="nil"/>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8"/>
                <w:szCs w:val="18"/>
              </w:rPr>
            </w:pPr>
            <w:r>
              <w:rPr>
                <w:rFonts w:hint="eastAsia" w:ascii="宋体" w:hAnsi="宋体" w:eastAsia="宋体" w:cs="宋体"/>
                <w:i w:val="0"/>
                <w:color w:val="000000"/>
                <w:spacing w:val="0"/>
                <w:w w:val="60"/>
                <w:kern w:val="0"/>
                <w:sz w:val="18"/>
                <w:szCs w:val="18"/>
                <w:u w:val="none"/>
                <w:lang w:val="en-US" w:eastAsia="zh-CN" w:bidi="ar"/>
              </w:rPr>
              <w:t xml:space="preserve">  财政对城乡居民基本养老保险基金的补助</w:t>
            </w:r>
          </w:p>
        </w:tc>
        <w:tc>
          <w:tcPr>
            <w:tcW w:w="1919" w:type="dxa"/>
            <w:gridSpan w:val="2"/>
            <w:tcBorders>
              <w:top w:val="nil"/>
              <w:left w:val="nil"/>
              <w:bottom w:val="single" w:color="000000" w:sz="4" w:space="0"/>
              <w:right w:val="single" w:color="000000" w:sz="4" w:space="0"/>
            </w:tcBorders>
            <w:shd w:val="clear" w:color="auto" w:fill="auto"/>
            <w:noWrap/>
            <w:tcMar>
              <w:top w:w="17" w:type="dxa"/>
              <w:left w:w="17" w:type="dxa"/>
              <w:right w:w="17" w:type="dxa"/>
            </w:tcMar>
            <w:vAlign w:val="center"/>
          </w:tcPr>
          <w:p>
            <w:pPr>
              <w:keepNext w:val="0"/>
              <w:keepLines w:val="0"/>
              <w:widowControl/>
              <w:suppressLineNumbers w:val="0"/>
              <w:spacing w:line="360" w:lineRule="auto"/>
              <w:jc w:val="right"/>
              <w:textAlignment w:val="center"/>
              <w:rPr>
                <w:rFonts w:ascii="宋体" w:hAnsi="宋体" w:cs="宋体"/>
                <w:color w:val="000000"/>
                <w:spacing w:val="0"/>
                <w:w w:val="100"/>
                <w:szCs w:val="21"/>
              </w:rPr>
            </w:pPr>
            <w:r>
              <w:rPr>
                <w:rFonts w:hint="eastAsia" w:ascii="宋体" w:hAnsi="宋体" w:eastAsia="宋体" w:cs="宋体"/>
                <w:i w:val="0"/>
                <w:color w:val="000000"/>
                <w:spacing w:val="0"/>
                <w:w w:val="100"/>
                <w:kern w:val="0"/>
                <w:sz w:val="22"/>
                <w:szCs w:val="22"/>
                <w:u w:val="none"/>
                <w:lang w:val="en-US" w:eastAsia="zh-CN" w:bidi="ar"/>
              </w:rPr>
              <w:t>5,915.47</w:t>
            </w:r>
          </w:p>
        </w:tc>
        <w:tc>
          <w:tcPr>
            <w:tcW w:w="1919" w:type="dxa"/>
            <w:gridSpan w:val="2"/>
            <w:tcBorders>
              <w:top w:val="nil"/>
              <w:left w:val="nil"/>
              <w:bottom w:val="single" w:color="000000" w:sz="4" w:space="0"/>
              <w:right w:val="single" w:color="000000" w:sz="4" w:space="0"/>
            </w:tcBorders>
            <w:shd w:val="clear" w:color="auto" w:fill="auto"/>
            <w:noWrap/>
            <w:tcMar>
              <w:top w:w="17" w:type="dxa"/>
              <w:left w:w="17" w:type="dxa"/>
              <w:right w:w="17" w:type="dxa"/>
            </w:tcMar>
            <w:vAlign w:val="center"/>
          </w:tcPr>
          <w:p>
            <w:pPr>
              <w:spacing w:line="360" w:lineRule="auto"/>
              <w:jc w:val="right"/>
              <w:rPr>
                <w:rFonts w:ascii="宋体" w:hAnsi="宋体" w:cs="宋体"/>
                <w:color w:val="000000"/>
                <w:spacing w:val="0"/>
                <w:w w:val="100"/>
                <w:szCs w:val="21"/>
              </w:rPr>
            </w:pPr>
          </w:p>
        </w:tc>
        <w:tc>
          <w:tcPr>
            <w:tcW w:w="1920" w:type="dxa"/>
            <w:tcBorders>
              <w:top w:val="nil"/>
              <w:left w:val="nil"/>
              <w:bottom w:val="single" w:color="000000" w:sz="4" w:space="0"/>
              <w:right w:val="single" w:color="000000" w:sz="4" w:space="0"/>
            </w:tcBorders>
            <w:shd w:val="clear" w:color="auto" w:fill="auto"/>
            <w:noWrap/>
            <w:tcMar>
              <w:top w:w="17" w:type="dxa"/>
              <w:left w:w="17" w:type="dxa"/>
              <w:right w:w="17" w:type="dxa"/>
            </w:tcMar>
            <w:vAlign w:val="center"/>
          </w:tcPr>
          <w:p>
            <w:pPr>
              <w:keepNext w:val="0"/>
              <w:keepLines w:val="0"/>
              <w:widowControl/>
              <w:suppressLineNumbers w:val="0"/>
              <w:spacing w:line="360" w:lineRule="auto"/>
              <w:jc w:val="right"/>
              <w:textAlignment w:val="center"/>
              <w:rPr>
                <w:rFonts w:ascii="宋体" w:hAnsi="宋体" w:cs="宋体"/>
                <w:color w:val="000000"/>
                <w:spacing w:val="0"/>
                <w:w w:val="100"/>
                <w:szCs w:val="21"/>
              </w:rPr>
            </w:pPr>
            <w:r>
              <w:rPr>
                <w:rFonts w:hint="eastAsia" w:ascii="宋体" w:hAnsi="宋体" w:eastAsia="宋体" w:cs="宋体"/>
                <w:i w:val="0"/>
                <w:color w:val="000000"/>
                <w:spacing w:val="0"/>
                <w:w w:val="100"/>
                <w:kern w:val="0"/>
                <w:sz w:val="22"/>
                <w:szCs w:val="22"/>
                <w:u w:val="none"/>
                <w:lang w:val="en-US" w:eastAsia="zh-CN" w:bidi="ar"/>
              </w:rPr>
              <w:t>5,915.47</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其他社会保障和就业支出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19,594.34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19,594.34</w:t>
            </w:r>
          </w:p>
        </w:tc>
      </w:tr>
      <w:tr>
        <w:tblPrEx>
          <w:tblCellMar>
            <w:top w:w="0" w:type="dxa"/>
            <w:left w:w="0" w:type="dxa"/>
            <w:bottom w:w="0" w:type="dxa"/>
            <w:right w:w="0" w:type="dxa"/>
          </w:tblCellMar>
        </w:tblPrEx>
        <w:trPr>
          <w:trHeight w:val="368"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2089901</w:t>
            </w:r>
          </w:p>
        </w:tc>
        <w:tc>
          <w:tcPr>
            <w:tcW w:w="2109" w:type="dxa"/>
            <w:tcBorders>
              <w:top w:val="nil"/>
              <w:left w:val="nil"/>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8"/>
                <w:szCs w:val="18"/>
              </w:rPr>
            </w:pPr>
            <w:r>
              <w:rPr>
                <w:rFonts w:hint="eastAsia" w:ascii="宋体" w:hAnsi="宋体" w:eastAsia="宋体" w:cs="宋体"/>
                <w:i w:val="0"/>
                <w:color w:val="000000"/>
                <w:spacing w:val="0"/>
                <w:w w:val="95"/>
                <w:kern w:val="0"/>
                <w:sz w:val="18"/>
                <w:szCs w:val="18"/>
                <w:u w:val="none"/>
                <w:lang w:val="en-US" w:eastAsia="zh-CN" w:bidi="ar"/>
              </w:rPr>
              <w:t xml:space="preserve">  其他社会保障和就业支出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19,594.34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19,594.34</w:t>
            </w:r>
          </w:p>
        </w:tc>
      </w:tr>
      <w:tr>
        <w:tblPrEx>
          <w:tblCellMar>
            <w:top w:w="0" w:type="dxa"/>
            <w:left w:w="0" w:type="dxa"/>
            <w:bottom w:w="0" w:type="dxa"/>
            <w:right w:w="0" w:type="dxa"/>
          </w:tblCellMar>
        </w:tblPrEx>
        <w:trPr>
          <w:trHeight w:val="368" w:hRule="exact"/>
        </w:trPr>
        <w:tc>
          <w:tcPr>
            <w:tcW w:w="99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w:t>
            </w:r>
          </w:p>
        </w:tc>
        <w:tc>
          <w:tcPr>
            <w:tcW w:w="2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医疗卫生与计划生育支出</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6,352.74</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50.94</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6,301.80</w:t>
            </w:r>
          </w:p>
        </w:tc>
      </w:tr>
      <w:tr>
        <w:tblPrEx>
          <w:tblCellMar>
            <w:top w:w="0" w:type="dxa"/>
            <w:left w:w="0" w:type="dxa"/>
            <w:bottom w:w="0" w:type="dxa"/>
            <w:right w:w="0" w:type="dxa"/>
          </w:tblCellMar>
        </w:tblPrEx>
        <w:trPr>
          <w:trHeight w:val="368" w:hRule="exact"/>
        </w:trPr>
        <w:tc>
          <w:tcPr>
            <w:tcW w:w="99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21011</w:t>
            </w:r>
          </w:p>
        </w:tc>
        <w:tc>
          <w:tcPr>
            <w:tcW w:w="2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行政事业单位医疗</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50.94</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50.94</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r>
      <w:tr>
        <w:tblPrEx>
          <w:tblCellMar>
            <w:top w:w="0" w:type="dxa"/>
            <w:left w:w="0" w:type="dxa"/>
            <w:bottom w:w="0" w:type="dxa"/>
            <w:right w:w="0" w:type="dxa"/>
          </w:tblCellMar>
        </w:tblPrEx>
        <w:trPr>
          <w:trHeight w:val="368" w:hRule="exact"/>
        </w:trPr>
        <w:tc>
          <w:tcPr>
            <w:tcW w:w="99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2101101</w:t>
            </w:r>
          </w:p>
        </w:tc>
        <w:tc>
          <w:tcPr>
            <w:tcW w:w="2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 xml:space="preserve">  行政单位医疗</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50.94</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50.94</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r>
      <w:tr>
        <w:tblPrEx>
          <w:tblCellMar>
            <w:top w:w="0" w:type="dxa"/>
            <w:left w:w="0" w:type="dxa"/>
            <w:bottom w:w="0" w:type="dxa"/>
            <w:right w:w="0" w:type="dxa"/>
          </w:tblCellMar>
        </w:tblPrEx>
        <w:trPr>
          <w:trHeight w:val="368" w:hRule="exact"/>
        </w:trPr>
        <w:tc>
          <w:tcPr>
            <w:tcW w:w="99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21012</w:t>
            </w:r>
          </w:p>
        </w:tc>
        <w:tc>
          <w:tcPr>
            <w:tcW w:w="2109" w:type="dxa"/>
            <w:tcBorders>
              <w:top w:val="single" w:color="000000" w:sz="4" w:space="0"/>
              <w:left w:val="single" w:color="000000" w:sz="4" w:space="0"/>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8"/>
                <w:szCs w:val="18"/>
              </w:rPr>
            </w:pPr>
            <w:r>
              <w:rPr>
                <w:rFonts w:hint="eastAsia" w:ascii="宋体" w:hAnsi="宋体" w:eastAsia="宋体" w:cs="宋体"/>
                <w:i w:val="0"/>
                <w:color w:val="000000"/>
                <w:spacing w:val="1"/>
                <w:w w:val="81"/>
                <w:kern w:val="0"/>
                <w:sz w:val="18"/>
                <w:szCs w:val="18"/>
                <w:u w:val="none"/>
                <w:lang w:val="en-US" w:eastAsia="zh-CN" w:bidi="ar"/>
              </w:rPr>
              <w:t>财政对基本医疗保险基金的补</w:t>
            </w:r>
            <w:r>
              <w:rPr>
                <w:rFonts w:hint="eastAsia" w:ascii="宋体" w:hAnsi="宋体" w:eastAsia="宋体" w:cs="宋体"/>
                <w:i w:val="0"/>
                <w:color w:val="000000"/>
                <w:spacing w:val="0"/>
                <w:w w:val="81"/>
                <w:kern w:val="0"/>
                <w:sz w:val="18"/>
                <w:szCs w:val="18"/>
                <w:u w:val="none"/>
                <w:lang w:val="en-US" w:eastAsia="zh-CN" w:bidi="ar"/>
              </w:rPr>
              <w:t>助</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6,301.80</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6,301.80</w:t>
            </w:r>
          </w:p>
        </w:tc>
      </w:tr>
      <w:tr>
        <w:tblPrEx>
          <w:tblCellMar>
            <w:top w:w="0" w:type="dxa"/>
            <w:left w:w="0" w:type="dxa"/>
            <w:bottom w:w="0" w:type="dxa"/>
            <w:right w:w="0" w:type="dxa"/>
          </w:tblCellMar>
        </w:tblPrEx>
        <w:trPr>
          <w:trHeight w:val="368" w:hRule="exact"/>
        </w:trPr>
        <w:tc>
          <w:tcPr>
            <w:tcW w:w="99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2101202</w:t>
            </w:r>
          </w:p>
        </w:tc>
        <w:tc>
          <w:tcPr>
            <w:tcW w:w="2109" w:type="dxa"/>
            <w:tcBorders>
              <w:top w:val="single" w:color="000000" w:sz="4" w:space="0"/>
              <w:left w:val="single" w:color="000000" w:sz="4" w:space="0"/>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8"/>
                <w:szCs w:val="18"/>
              </w:rPr>
            </w:pPr>
            <w:r>
              <w:rPr>
                <w:rFonts w:hint="eastAsia" w:ascii="宋体" w:hAnsi="宋体" w:eastAsia="宋体" w:cs="宋体"/>
                <w:i w:val="0"/>
                <w:color w:val="000000"/>
                <w:spacing w:val="0"/>
                <w:w w:val="60"/>
                <w:kern w:val="0"/>
                <w:sz w:val="18"/>
                <w:szCs w:val="18"/>
                <w:u w:val="none"/>
                <w:lang w:val="en-US" w:eastAsia="zh-CN" w:bidi="ar"/>
              </w:rPr>
              <w:t xml:space="preserve">  财政对城乡居民基本医疗保险基金的补助</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6,301.80</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6,301.80</w:t>
            </w:r>
          </w:p>
        </w:tc>
      </w:tr>
      <w:tr>
        <w:tblPrEx>
          <w:tblCellMar>
            <w:top w:w="0" w:type="dxa"/>
            <w:left w:w="0" w:type="dxa"/>
            <w:bottom w:w="0" w:type="dxa"/>
            <w:right w:w="0" w:type="dxa"/>
          </w:tblCellMar>
        </w:tblPrEx>
        <w:trPr>
          <w:trHeight w:val="368" w:hRule="exact"/>
        </w:trPr>
        <w:tc>
          <w:tcPr>
            <w:tcW w:w="99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w:t>
            </w:r>
          </w:p>
        </w:tc>
        <w:tc>
          <w:tcPr>
            <w:tcW w:w="2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农林水支出</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169.00</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169.00</w:t>
            </w:r>
          </w:p>
        </w:tc>
      </w:tr>
      <w:tr>
        <w:tblPrEx>
          <w:tblCellMar>
            <w:top w:w="0" w:type="dxa"/>
            <w:left w:w="0" w:type="dxa"/>
            <w:bottom w:w="0" w:type="dxa"/>
            <w:right w:w="0" w:type="dxa"/>
          </w:tblCellMar>
        </w:tblPrEx>
        <w:trPr>
          <w:trHeight w:val="368" w:hRule="exact"/>
        </w:trPr>
        <w:tc>
          <w:tcPr>
            <w:tcW w:w="99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21307</w:t>
            </w:r>
          </w:p>
        </w:tc>
        <w:tc>
          <w:tcPr>
            <w:tcW w:w="2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农村综合改革</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169.00</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169.00</w:t>
            </w:r>
          </w:p>
        </w:tc>
      </w:tr>
      <w:tr>
        <w:tblPrEx>
          <w:tblCellMar>
            <w:top w:w="0" w:type="dxa"/>
            <w:left w:w="0" w:type="dxa"/>
            <w:bottom w:w="0" w:type="dxa"/>
            <w:right w:w="0" w:type="dxa"/>
          </w:tblCellMar>
        </w:tblPrEx>
        <w:trPr>
          <w:trHeight w:val="368" w:hRule="exact"/>
        </w:trPr>
        <w:tc>
          <w:tcPr>
            <w:tcW w:w="99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2130705</w:t>
            </w:r>
          </w:p>
        </w:tc>
        <w:tc>
          <w:tcPr>
            <w:tcW w:w="2109" w:type="dxa"/>
            <w:tcBorders>
              <w:top w:val="single" w:color="000000" w:sz="4" w:space="0"/>
              <w:left w:val="single" w:color="000000" w:sz="4" w:space="0"/>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360" w:lineRule="auto"/>
              <w:jc w:val="left"/>
              <w:textAlignment w:val="center"/>
              <w:rPr>
                <w:rFonts w:ascii="宋体" w:hAnsi="宋体" w:cs="宋体"/>
                <w:color w:val="000000"/>
                <w:spacing w:val="0"/>
                <w:sz w:val="18"/>
                <w:szCs w:val="18"/>
              </w:rPr>
            </w:pPr>
            <w:r>
              <w:rPr>
                <w:rFonts w:hint="eastAsia" w:ascii="宋体" w:hAnsi="宋体" w:eastAsia="宋体" w:cs="宋体"/>
                <w:i w:val="0"/>
                <w:color w:val="000000"/>
                <w:spacing w:val="0"/>
                <w:w w:val="76"/>
                <w:kern w:val="0"/>
                <w:sz w:val="18"/>
                <w:szCs w:val="18"/>
                <w:u w:val="none"/>
                <w:lang w:val="en-US" w:eastAsia="zh-CN" w:bidi="ar"/>
              </w:rPr>
              <w:t xml:space="preserve">  对村民委员会和村党支部的补助</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169.00</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169.00</w:t>
            </w:r>
          </w:p>
        </w:tc>
      </w:tr>
      <w:tr>
        <w:tblPrEx>
          <w:tblCellMar>
            <w:top w:w="0" w:type="dxa"/>
            <w:left w:w="0" w:type="dxa"/>
            <w:bottom w:w="0" w:type="dxa"/>
            <w:right w:w="0" w:type="dxa"/>
          </w:tblCellMar>
        </w:tblPrEx>
        <w:trPr>
          <w:trHeight w:val="368" w:hRule="exact"/>
        </w:trPr>
        <w:tc>
          <w:tcPr>
            <w:tcW w:w="99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221</w:t>
            </w:r>
          </w:p>
        </w:tc>
        <w:tc>
          <w:tcPr>
            <w:tcW w:w="2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住房保障支出</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85.47</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85.47</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r>
      <w:tr>
        <w:tblPrEx>
          <w:tblCellMar>
            <w:top w:w="0" w:type="dxa"/>
            <w:left w:w="0" w:type="dxa"/>
            <w:bottom w:w="0" w:type="dxa"/>
            <w:right w:w="0" w:type="dxa"/>
          </w:tblCellMar>
        </w:tblPrEx>
        <w:trPr>
          <w:trHeight w:val="368" w:hRule="exact"/>
        </w:trPr>
        <w:tc>
          <w:tcPr>
            <w:tcW w:w="99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22102</w:t>
            </w:r>
          </w:p>
        </w:tc>
        <w:tc>
          <w:tcPr>
            <w:tcW w:w="2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住房改革支出</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85.47</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85.47</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r>
      <w:tr>
        <w:tblPrEx>
          <w:tblCellMar>
            <w:top w:w="0" w:type="dxa"/>
            <w:left w:w="0" w:type="dxa"/>
            <w:bottom w:w="0" w:type="dxa"/>
            <w:right w:w="0" w:type="dxa"/>
          </w:tblCellMar>
        </w:tblPrEx>
        <w:trPr>
          <w:trHeight w:val="368" w:hRule="exact"/>
        </w:trPr>
        <w:tc>
          <w:tcPr>
            <w:tcW w:w="993"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2210201</w:t>
            </w:r>
          </w:p>
        </w:tc>
        <w:tc>
          <w:tcPr>
            <w:tcW w:w="2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 xml:space="preserve">  住房公积金</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85.47</w:t>
            </w:r>
          </w:p>
        </w:tc>
        <w:tc>
          <w:tcPr>
            <w:tcW w:w="191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85.47</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single" w:color="000000" w:sz="4" w:space="0"/>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3"/>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975" w:type="dxa"/>
            <w:gridSpan w:val="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r>
              <w:rPr>
                <w:rFonts w:hint="eastAsia" w:ascii="宋体" w:hAnsi="宋体" w:cs="宋体"/>
                <w:color w:val="000000"/>
                <w:kern w:val="0"/>
                <w:sz w:val="22"/>
                <w:szCs w:val="22"/>
              </w:rPr>
              <w:t>部门：廊坊市大厂回族自治县人力资源和社会保障局（本级）</w:t>
            </w: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1,361.67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203.92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763.11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20.69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57.17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4.30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20.94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0.13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109.00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0.89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54"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142.99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9.15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67.17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54"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50.94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13.27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54"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8.90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3.88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3.50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85.47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5.45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54"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128.16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305.38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2.49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0.80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17.43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4.41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10.33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54"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283.54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7.80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8.38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54"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40.66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83"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54" w:hRule="exac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20"/>
                <w:szCs w:val="20"/>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40" w:hRule="exac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1,667.04</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203.92</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部门：廊坊市大厂回族自治县人力资源和社会保障局（本级）</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54" w:hRule="exac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13.58</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12.50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12.50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1.08</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54" w:hRule="exac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10.52</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9.62</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9.62</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0.90</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296"/>
        <w:gridCol w:w="191"/>
        <w:gridCol w:w="286"/>
        <w:gridCol w:w="862"/>
        <w:gridCol w:w="803"/>
        <w:gridCol w:w="739"/>
        <w:gridCol w:w="1001"/>
        <w:gridCol w:w="1170"/>
        <w:gridCol w:w="1155"/>
        <w:gridCol w:w="1089"/>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8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6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0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7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55"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08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6503" w:type="dxa"/>
            <w:gridSpan w:val="9"/>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r>
              <w:rPr>
                <w:rFonts w:hint="eastAsia" w:ascii="宋体" w:hAnsi="宋体" w:cs="宋体"/>
                <w:color w:val="000000"/>
                <w:kern w:val="0"/>
                <w:szCs w:val="21"/>
              </w:rPr>
              <w:t>部门：廊坊市大厂回族自治县人力资源和社会保障局（本级）</w:t>
            </w:r>
          </w:p>
        </w:tc>
        <w:tc>
          <w:tcPr>
            <w:tcW w:w="2357"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438"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3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100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414"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77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66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3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0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7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5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77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66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73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0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5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8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77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66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73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0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5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8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438"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40" w:hRule="exact"/>
        </w:trPr>
        <w:tc>
          <w:tcPr>
            <w:tcW w:w="2438"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0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b/>
                <w:color w:val="000000"/>
                <w:sz w:val="18"/>
                <w:szCs w:val="18"/>
              </w:rPr>
            </w:pPr>
            <w:r>
              <w:rPr>
                <w:rFonts w:hint="eastAsia" w:ascii="宋体" w:hAnsi="宋体" w:eastAsia="宋体" w:cs="宋体"/>
                <w:b/>
                <w:i w:val="0"/>
                <w:color w:val="000000"/>
                <w:kern w:val="0"/>
                <w:sz w:val="18"/>
                <w:szCs w:val="18"/>
                <w:u w:val="none"/>
                <w:lang w:val="en-US" w:eastAsia="zh-CN" w:bidi="ar"/>
              </w:rPr>
              <w:t>54,776.62</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b/>
                <w:color w:val="000000"/>
                <w:sz w:val="18"/>
                <w:szCs w:val="18"/>
              </w:rPr>
            </w:pPr>
            <w:r>
              <w:rPr>
                <w:rFonts w:hint="eastAsia" w:ascii="宋体" w:hAnsi="宋体" w:eastAsia="宋体" w:cs="宋体"/>
                <w:b/>
                <w:i w:val="0"/>
                <w:color w:val="000000"/>
                <w:kern w:val="0"/>
                <w:sz w:val="18"/>
                <w:szCs w:val="18"/>
                <w:u w:val="none"/>
                <w:lang w:val="en-US" w:eastAsia="zh-CN" w:bidi="ar"/>
              </w:rPr>
              <w:t>54,776.62</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b/>
                <w:color w:val="000000"/>
                <w:sz w:val="18"/>
                <w:szCs w:val="18"/>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b/>
                <w:color w:val="000000"/>
                <w:sz w:val="18"/>
                <w:szCs w:val="18"/>
              </w:rPr>
            </w:pPr>
            <w:r>
              <w:rPr>
                <w:rFonts w:hint="eastAsia" w:ascii="宋体" w:hAnsi="宋体" w:eastAsia="宋体" w:cs="宋体"/>
                <w:b/>
                <w:i w:val="0"/>
                <w:color w:val="000000"/>
                <w:kern w:val="0"/>
                <w:sz w:val="18"/>
                <w:szCs w:val="18"/>
                <w:u w:val="none"/>
                <w:lang w:val="en-US" w:eastAsia="zh-CN" w:bidi="ar"/>
              </w:rPr>
              <w:t>54,776.62</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b/>
                <w:color w:val="000000"/>
                <w:szCs w:val="21"/>
              </w:rPr>
            </w:pPr>
          </w:p>
        </w:tc>
      </w:tr>
      <w:tr>
        <w:tblPrEx>
          <w:tblCellMar>
            <w:top w:w="0" w:type="dxa"/>
            <w:left w:w="0" w:type="dxa"/>
            <w:bottom w:w="0" w:type="dxa"/>
            <w:right w:w="0" w:type="dxa"/>
          </w:tblCellMar>
        </w:tblPrEx>
        <w:trPr>
          <w:trHeight w:val="340" w:hRule="exact"/>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w:t>
            </w:r>
          </w:p>
        </w:tc>
        <w:tc>
          <w:tcPr>
            <w:tcW w:w="16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城乡社区支出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p>
        </w:tc>
      </w:tr>
      <w:tr>
        <w:tblPrEx>
          <w:tblCellMar>
            <w:top w:w="0" w:type="dxa"/>
            <w:left w:w="0" w:type="dxa"/>
            <w:bottom w:w="0" w:type="dxa"/>
            <w:right w:w="0" w:type="dxa"/>
          </w:tblCellMar>
        </w:tblPrEx>
        <w:trPr>
          <w:trHeight w:val="340" w:hRule="exact"/>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21208</w:t>
            </w:r>
          </w:p>
        </w:tc>
        <w:tc>
          <w:tcPr>
            <w:tcW w:w="1665" w:type="dxa"/>
            <w:gridSpan w:val="2"/>
            <w:tcBorders>
              <w:top w:val="nil"/>
              <w:left w:val="nil"/>
              <w:bottom w:val="single" w:color="000000" w:sz="4" w:space="0"/>
              <w:right w:val="single" w:color="000000" w:sz="4" w:space="0"/>
            </w:tcBorders>
            <w:shd w:val="clear" w:color="auto" w:fill="auto"/>
            <w:noWrap/>
            <w:tcMar>
              <w:top w:w="17" w:type="dxa"/>
              <w:left w:w="17" w:type="dxa"/>
              <w:right w:w="17" w:type="dxa"/>
            </w:tcMar>
            <w:tcFitText/>
            <w:vAlign w:val="center"/>
          </w:tcPr>
          <w:p>
            <w:pPr>
              <w:keepNext w:val="0"/>
              <w:keepLines w:val="0"/>
              <w:widowControl/>
              <w:suppressLineNumbers w:val="0"/>
              <w:spacing w:line="240" w:lineRule="auto"/>
              <w:jc w:val="left"/>
              <w:textAlignment w:val="center"/>
              <w:rPr>
                <w:rFonts w:ascii="宋体" w:hAnsi="宋体" w:cs="宋体"/>
                <w:color w:val="000000"/>
                <w:spacing w:val="0"/>
                <w:sz w:val="16"/>
                <w:szCs w:val="16"/>
              </w:rPr>
            </w:pPr>
            <w:r>
              <w:rPr>
                <w:rFonts w:hint="eastAsia" w:ascii="宋体" w:hAnsi="宋体" w:cs="宋体"/>
                <w:color w:val="000000"/>
                <w:spacing w:val="0"/>
                <w:w w:val="40"/>
                <w:sz w:val="16"/>
                <w:szCs w:val="16"/>
              </w:rPr>
              <w:t>国有土地使用权出让收入及对应专项债务收入安排的支出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p>
        </w:tc>
      </w:tr>
      <w:tr>
        <w:tblPrEx>
          <w:tblCellMar>
            <w:top w:w="0" w:type="dxa"/>
            <w:left w:w="0" w:type="dxa"/>
            <w:bottom w:w="0" w:type="dxa"/>
            <w:right w:w="0" w:type="dxa"/>
          </w:tblCellMar>
        </w:tblPrEx>
        <w:trPr>
          <w:trHeight w:val="340" w:hRule="exact"/>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2120805</w:t>
            </w:r>
          </w:p>
        </w:tc>
        <w:tc>
          <w:tcPr>
            <w:tcW w:w="16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left"/>
              <w:textAlignment w:val="center"/>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补助被征地农民支出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uto"/>
              <w:jc w:val="right"/>
              <w:rPr>
                <w:rFonts w:ascii="宋体" w:hAnsi="宋体" w:cs="宋体"/>
                <w:color w:val="000000"/>
                <w:sz w:val="18"/>
                <w:szCs w:val="18"/>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righ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54,776.62</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p>
        </w:tc>
      </w:tr>
      <w:tr>
        <w:tblPrEx>
          <w:tblCellMar>
            <w:top w:w="0" w:type="dxa"/>
            <w:left w:w="0" w:type="dxa"/>
            <w:bottom w:w="0" w:type="dxa"/>
            <w:right w:w="0" w:type="dxa"/>
          </w:tblCellMar>
        </w:tblPrEx>
        <w:trPr>
          <w:trHeight w:val="340" w:hRule="exact"/>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6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40" w:hRule="exact"/>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6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40" w:hRule="exact"/>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6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40" w:hRule="exact"/>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6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40" w:hRule="exact"/>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6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40" w:hRule="exact"/>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6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40" w:hRule="exact"/>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6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08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3"/>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5362"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18"/>
                <w:szCs w:val="18"/>
              </w:rPr>
              <w:t>廊坊市大厂回族自治县人力资源和社会保障局（本级）</w:t>
            </w: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注：本部门本年度国有资本经营预算财政拨款无相关支出情况，按要求以空表列示。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编制单位：廊坊市大厂回族自治县人力资源和社会保障局（本级）</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69" w:hRule="exac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212.30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212.30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212.30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69" w:hRule="exac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69" w:hRule="exac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69" w:hRule="exac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212.30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212.30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212.30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69" w:hRule="exac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211.98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211.98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211.98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69" w:hRule="exac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69" w:hRule="exac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69" w:hRule="exac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211.98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211.98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360" w:lineRule="auto"/>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211.98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r>
        <w:rPr>
          <w:rFonts w:hint="eastAsia"/>
        </w:rPr>
        <w:tab/>
      </w:r>
    </w:p>
    <w:p>
      <w:pPr>
        <w:widowControl/>
        <w:spacing w:line="1200" w:lineRule="exact"/>
        <w:jc w:val="both"/>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int="eastAsia"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第三部分</w:t>
      </w:r>
    </w:p>
    <w:p>
      <w:pPr>
        <w:widowControl/>
        <w:spacing w:line="1200" w:lineRule="exact"/>
        <w:jc w:val="center"/>
        <w:rPr>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部门决算情况说明</w:t>
      </w:r>
    </w:p>
    <w:p>
      <w:pPr>
        <w:rPr>
          <w:rFonts w:ascii="宋体" w:hAnsi="宋体" w:cs="ArialUnicodeMS"/>
          <w:color w:val="000000"/>
          <w:kern w:val="0"/>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p>
      <w:pPr>
        <w:pStyle w:val="3"/>
        <w:spacing w:before="0" w:after="0" w:line="580" w:lineRule="exact"/>
        <w:ind w:firstLine="1280" w:firstLineChars="4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spacing w:line="600" w:lineRule="exact"/>
        <w:ind w:left="638" w:leftChars="304" w:firstLine="640" w:firstLineChars="200"/>
        <w:rPr>
          <w:rFonts w:ascii="仿宋_GB2312" w:eastAsia="仿宋_GB2312" w:cs="DengXian-Regular"/>
          <w:sz w:val="32"/>
          <w:szCs w:val="32"/>
        </w:rPr>
      </w:pPr>
      <w:r>
        <w:rPr>
          <w:rFonts w:hint="eastAsia" w:ascii="仿宋_GB2312" w:hAnsi="仿宋_GB2312" w:eastAsia="仿宋_GB2312" w:cs="仿宋_GB2312"/>
          <w:sz w:val="32"/>
          <w:szCs w:val="32"/>
          <w:lang w:eastAsia="zh-CN"/>
        </w:rPr>
        <w:t>本部门</w:t>
      </w:r>
      <w:r>
        <w:rPr>
          <w:rFonts w:hint="eastAsia" w:ascii="仿宋_GB2312" w:hAnsi="仿宋_GB2312" w:eastAsia="仿宋_GB2312" w:cs="仿宋_GB2312"/>
          <w:snapToGrid w:val="0"/>
          <w:kern w:val="0"/>
          <w:sz w:val="32"/>
          <w:szCs w:val="32"/>
        </w:rPr>
        <w:t>201</w:t>
      </w:r>
      <w:r>
        <w:rPr>
          <w:rFonts w:hint="eastAsia" w:ascii="仿宋_GB2312" w:hAnsi="仿宋_GB2312" w:eastAsia="仿宋_GB2312" w:cs="仿宋_GB2312"/>
          <w:snapToGrid w:val="0"/>
          <w:kern w:val="0"/>
          <w:sz w:val="32"/>
          <w:szCs w:val="32"/>
          <w:lang w:val="en-US" w:eastAsia="zh-CN"/>
        </w:rPr>
        <w:t>8</w:t>
      </w:r>
      <w:r>
        <w:rPr>
          <w:rFonts w:hint="eastAsia" w:ascii="仿宋_GB2312" w:hAnsi="仿宋_GB2312" w:eastAsia="仿宋_GB2312" w:cs="仿宋_GB2312"/>
          <w:snapToGrid w:val="0"/>
          <w:kern w:val="0"/>
          <w:sz w:val="32"/>
          <w:szCs w:val="32"/>
        </w:rPr>
        <w:t>年度年初结转和结余</w:t>
      </w:r>
      <w:r>
        <w:rPr>
          <w:rFonts w:hint="eastAsia" w:ascii="仿宋_GB2312" w:hAnsi="仿宋_GB2312" w:eastAsia="仿宋_GB2312" w:cs="仿宋_GB2312"/>
          <w:snapToGrid w:val="0"/>
          <w:kern w:val="0"/>
          <w:sz w:val="32"/>
          <w:szCs w:val="32"/>
          <w:lang w:val="en-US" w:eastAsia="zh-CN"/>
        </w:rPr>
        <w:t>42.44</w:t>
      </w:r>
      <w:r>
        <w:rPr>
          <w:rFonts w:hint="eastAsia" w:ascii="仿宋_GB2312" w:hAnsi="仿宋_GB2312" w:eastAsia="仿宋_GB2312" w:cs="仿宋_GB2312"/>
          <w:snapToGrid w:val="0"/>
          <w:kern w:val="0"/>
          <w:sz w:val="32"/>
          <w:szCs w:val="32"/>
        </w:rPr>
        <w:t>万元，本年</w:t>
      </w:r>
      <w:r>
        <w:rPr>
          <w:rFonts w:hint="eastAsia" w:ascii="仿宋_GB2312" w:hAnsi="仿宋_GB2312" w:eastAsia="仿宋_GB2312" w:cs="仿宋_GB2312"/>
          <w:sz w:val="32"/>
          <w:szCs w:val="32"/>
          <w:lang w:eastAsia="zh-CN"/>
        </w:rPr>
        <w:t>财政拨款</w:t>
      </w:r>
      <w:r>
        <w:rPr>
          <w:rFonts w:hint="eastAsia" w:ascii="仿宋_GB2312" w:hAnsi="仿宋_GB2312" w:eastAsia="仿宋_GB2312" w:cs="仿宋_GB2312"/>
          <w:snapToGrid w:val="0"/>
          <w:kern w:val="0"/>
          <w:sz w:val="32"/>
          <w:szCs w:val="32"/>
        </w:rPr>
        <w:t>收入95250.08万元,</w:t>
      </w:r>
      <w:r>
        <w:rPr>
          <w:rFonts w:hint="eastAsia" w:ascii="仿宋_GB2312" w:hAnsi="仿宋_GB2312" w:eastAsia="仿宋_GB2312" w:cs="仿宋_GB2312"/>
          <w:sz w:val="32"/>
          <w:szCs w:val="32"/>
          <w:lang w:eastAsia="zh-CN"/>
        </w:rPr>
        <w:t>其中一般公共预算财政拨款收入40473.46万元，政府性基金预算财政拨款收入54776.62万元。</w:t>
      </w:r>
      <w:r>
        <w:rPr>
          <w:rFonts w:hint="eastAsia" w:ascii="仿宋_GB2312" w:hAnsi="仿宋_GB2312" w:eastAsia="仿宋_GB2312" w:cs="仿宋_GB2312"/>
          <w:snapToGrid w:val="0"/>
          <w:kern w:val="0"/>
          <w:sz w:val="32"/>
          <w:szCs w:val="32"/>
        </w:rPr>
        <w:t>本年</w:t>
      </w:r>
      <w:r>
        <w:rPr>
          <w:rFonts w:hint="eastAsia" w:ascii="仿宋_GB2312" w:hAnsi="仿宋_GB2312" w:eastAsia="仿宋_GB2312" w:cs="仿宋_GB2312"/>
          <w:sz w:val="32"/>
          <w:szCs w:val="32"/>
          <w:lang w:eastAsia="zh-CN"/>
        </w:rPr>
        <w:t>财政拨款</w:t>
      </w:r>
      <w:r>
        <w:rPr>
          <w:rFonts w:hint="eastAsia" w:ascii="仿宋_GB2312" w:hAnsi="仿宋_GB2312" w:eastAsia="仿宋_GB2312" w:cs="仿宋_GB2312"/>
          <w:snapToGrid w:val="0"/>
          <w:kern w:val="0"/>
          <w:sz w:val="32"/>
          <w:szCs w:val="32"/>
        </w:rPr>
        <w:t>支出95237.02万元，</w:t>
      </w:r>
      <w:r>
        <w:rPr>
          <w:rFonts w:hint="eastAsia" w:ascii="仿宋_GB2312" w:hAnsi="仿宋_GB2312" w:eastAsia="仿宋_GB2312" w:cs="仿宋_GB2312"/>
          <w:sz w:val="32"/>
          <w:szCs w:val="32"/>
          <w:lang w:eastAsia="zh-CN"/>
        </w:rPr>
        <w:t>其中一般公共预算财政拨款支出40460.4万元，政府性基金预算财政拨款支出54776.62万元，</w:t>
      </w:r>
      <w:r>
        <w:rPr>
          <w:rFonts w:hint="eastAsia" w:ascii="仿宋_GB2312" w:hAnsi="仿宋_GB2312" w:eastAsia="仿宋_GB2312" w:cs="仿宋_GB2312"/>
          <w:snapToGrid w:val="0"/>
          <w:kern w:val="0"/>
          <w:sz w:val="32"/>
          <w:szCs w:val="32"/>
        </w:rPr>
        <w:t>年末结转和结余55.5万元。</w:t>
      </w:r>
      <w:r>
        <w:rPr>
          <w:rFonts w:hint="eastAsia" w:ascii="仿宋_GB2312" w:hAnsi="仿宋_GB2312" w:eastAsia="仿宋_GB2312" w:cs="仿宋_GB2312"/>
          <w:sz w:val="32"/>
          <w:szCs w:val="32"/>
          <w:lang w:eastAsia="zh-CN"/>
        </w:rPr>
        <w:t>与201</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年度决算数相比，本年收入减少</w:t>
      </w:r>
      <w:r>
        <w:rPr>
          <w:rFonts w:hint="eastAsia" w:ascii="仿宋_GB2312" w:hAnsi="仿宋_GB2312" w:eastAsia="仿宋_GB2312" w:cs="仿宋_GB2312"/>
          <w:sz w:val="32"/>
          <w:szCs w:val="32"/>
          <w:lang w:val="en-US" w:eastAsia="zh-CN"/>
        </w:rPr>
        <w:t>10838.29</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下降</w:t>
      </w:r>
      <w:r>
        <w:rPr>
          <w:rFonts w:hint="eastAsia" w:ascii="仿宋_GB2312" w:hAnsi="仿宋_GB2312" w:eastAsia="仿宋_GB2312" w:cs="仿宋_GB2312"/>
          <w:bCs/>
          <w:color w:val="auto"/>
          <w:sz w:val="32"/>
          <w:szCs w:val="32"/>
          <w:lang w:val="en-US" w:eastAsia="zh-CN"/>
        </w:rPr>
        <w:t>10.22%，主要原因是政府性基金预算减少。本年支出</w:t>
      </w:r>
      <w:r>
        <w:rPr>
          <w:rFonts w:hint="eastAsia" w:ascii="仿宋_GB2312" w:hAnsi="仿宋_GB2312" w:eastAsia="仿宋_GB2312" w:cs="仿宋_GB2312"/>
          <w:sz w:val="32"/>
          <w:szCs w:val="32"/>
          <w:lang w:eastAsia="zh-CN"/>
        </w:rPr>
        <w:t>减少</w:t>
      </w:r>
      <w:r>
        <w:rPr>
          <w:rFonts w:hint="eastAsia" w:ascii="仿宋_GB2312" w:hAnsi="仿宋_GB2312" w:eastAsia="仿宋_GB2312" w:cs="仿宋_GB2312"/>
          <w:bCs/>
          <w:color w:val="auto"/>
          <w:sz w:val="32"/>
          <w:szCs w:val="32"/>
          <w:lang w:val="en-US" w:eastAsia="zh-CN"/>
        </w:rPr>
        <w:t>10922.92万元，</w:t>
      </w:r>
      <w:r>
        <w:rPr>
          <w:rFonts w:hint="eastAsia" w:ascii="仿宋_GB2312" w:hAnsi="仿宋_GB2312" w:eastAsia="仿宋_GB2312" w:cs="仿宋_GB2312"/>
          <w:sz w:val="32"/>
          <w:szCs w:val="32"/>
        </w:rPr>
        <w:t>下降</w:t>
      </w:r>
      <w:r>
        <w:rPr>
          <w:rFonts w:hint="eastAsia" w:ascii="仿宋_GB2312" w:hAnsi="仿宋_GB2312" w:eastAsia="仿宋_GB2312" w:cs="仿宋_GB2312"/>
          <w:bCs/>
          <w:color w:val="auto"/>
          <w:sz w:val="32"/>
          <w:szCs w:val="32"/>
          <w:lang w:val="en-US" w:eastAsia="zh-CN"/>
        </w:rPr>
        <w:t>10.29%，主要原因是政府性基金支出减少</w:t>
      </w:r>
      <w:r>
        <w:rPr>
          <w:rFonts w:hint="eastAsia" w:ascii="仿宋_GB2312" w:hAnsi="仿宋_GB2312" w:eastAsia="仿宋_GB2312" w:cs="仿宋_GB2312"/>
          <w:bCs/>
          <w:color w:val="auto"/>
          <w:sz w:val="32"/>
          <w:szCs w:val="32"/>
        </w:rPr>
        <w:t>。</w:t>
      </w:r>
    </w:p>
    <w:p>
      <w:pPr>
        <w:pStyle w:val="3"/>
        <w:spacing w:before="0" w:after="0" w:line="580" w:lineRule="exact"/>
        <w:ind w:firstLine="1280" w:firstLineChars="400"/>
        <w:rPr>
          <w:rFonts w:ascii="黑体" w:eastAsia="黑体"/>
          <w:b w:val="0"/>
          <w:bCs w:val="0"/>
        </w:rPr>
      </w:pPr>
      <w:r>
        <w:rPr>
          <w:rFonts w:hint="eastAsia" w:ascii="黑体" w:eastAsia="黑体"/>
          <w:b w:val="0"/>
          <w:bCs w:val="0"/>
        </w:rPr>
        <w:t>二、收入决算情况说明</w:t>
      </w:r>
    </w:p>
    <w:p>
      <w:pPr>
        <w:spacing w:line="600" w:lineRule="exact"/>
        <w:ind w:left="638" w:leftChars="304" w:firstLine="640" w:firstLineChars="20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sz w:val="32"/>
          <w:szCs w:val="32"/>
        </w:rPr>
        <w:t>本部门2018年度本年收入合计</w:t>
      </w:r>
      <w:r>
        <w:rPr>
          <w:rFonts w:hint="eastAsia" w:ascii="仿宋_GB2312" w:hAnsi="仿宋_GB2312" w:eastAsia="仿宋_GB2312" w:cs="仿宋_GB2312"/>
          <w:snapToGrid w:val="0"/>
          <w:kern w:val="0"/>
          <w:sz w:val="32"/>
          <w:szCs w:val="32"/>
        </w:rPr>
        <w:t>95250.08</w:t>
      </w:r>
      <w:r>
        <w:rPr>
          <w:rFonts w:hint="eastAsia" w:ascii="仿宋_GB2312" w:hAnsi="仿宋_GB2312" w:eastAsia="仿宋_GB2312" w:cs="仿宋_GB2312"/>
          <w:sz w:val="32"/>
          <w:szCs w:val="32"/>
        </w:rPr>
        <w:t>万元，</w:t>
      </w:r>
      <w:r>
        <w:rPr>
          <w:rFonts w:hint="eastAsia" w:ascii="仿宋_GB2312" w:hAnsi="仿宋_GB2312" w:eastAsia="仿宋_GB2312" w:cs="仿宋_GB2312"/>
          <w:bCs/>
          <w:sz w:val="32"/>
          <w:szCs w:val="32"/>
          <w:lang w:eastAsia="zh-CN"/>
        </w:rPr>
        <w:t>均为</w:t>
      </w:r>
      <w:r>
        <w:rPr>
          <w:rFonts w:hint="eastAsia" w:ascii="仿宋_GB2312" w:hAnsi="仿宋_GB2312" w:eastAsia="仿宋_GB2312" w:cs="仿宋_GB2312"/>
          <w:bCs/>
          <w:sz w:val="32"/>
          <w:szCs w:val="32"/>
        </w:rPr>
        <w:t>财政拨款收入</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sz w:val="32"/>
          <w:szCs w:val="32"/>
        </w:rPr>
        <w:t>财政拨款收入</w:t>
      </w:r>
      <w:r>
        <w:rPr>
          <w:rFonts w:hint="eastAsia" w:ascii="仿宋_GB2312" w:hAnsi="仿宋_GB2312" w:eastAsia="仿宋_GB2312" w:cs="仿宋_GB2312"/>
          <w:snapToGrid w:val="0"/>
          <w:kern w:val="0"/>
          <w:sz w:val="32"/>
          <w:szCs w:val="32"/>
        </w:rPr>
        <w:t>95250.08</w:t>
      </w:r>
      <w:r>
        <w:rPr>
          <w:rFonts w:hint="eastAsia" w:ascii="仿宋_GB2312" w:hAnsi="仿宋_GB2312" w:eastAsia="仿宋_GB2312" w:cs="仿宋_GB2312"/>
          <w:sz w:val="32"/>
          <w:szCs w:val="32"/>
        </w:rPr>
        <w:t>万元，占</w:t>
      </w:r>
      <w:r>
        <w:rPr>
          <w:rFonts w:hint="eastAsia" w:ascii="仿宋_GB2312" w:hAnsi="仿宋_GB2312" w:eastAsia="仿宋_GB2312" w:cs="仿宋_GB2312"/>
          <w:bCs/>
          <w:sz w:val="32"/>
          <w:szCs w:val="32"/>
          <w:lang w:val="en-US" w:eastAsia="zh-CN"/>
        </w:rPr>
        <w:t>100%。</w:t>
      </w:r>
    </w:p>
    <w:p>
      <w:pPr>
        <w:spacing w:line="600" w:lineRule="exact"/>
        <w:ind w:left="420" w:leftChars="200" w:firstLine="198"/>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如图所示：</w:t>
      </w:r>
    </w:p>
    <w:p>
      <w:pPr>
        <w:adjustRightInd w:val="0"/>
        <w:snapToGrid w:val="0"/>
        <w:spacing w:line="584" w:lineRule="exact"/>
        <w:jc w:val="center"/>
        <w:rPr>
          <w:rFonts w:eastAsia="仿宋_GB2312"/>
          <w:sz w:val="32"/>
          <w:szCs w:val="32"/>
        </w:rPr>
      </w:pPr>
      <w:r>
        <w:drawing>
          <wp:anchor distT="0" distB="0" distL="114300" distR="114300" simplePos="0" relativeHeight="251660288" behindDoc="0" locked="0" layoutInCell="1" allowOverlap="1">
            <wp:simplePos x="0" y="0"/>
            <wp:positionH relativeFrom="column">
              <wp:posOffset>650875</wp:posOffset>
            </wp:positionH>
            <wp:positionV relativeFrom="paragraph">
              <wp:posOffset>561340</wp:posOffset>
            </wp:positionV>
            <wp:extent cx="4410710" cy="2458085"/>
            <wp:effectExtent l="4445" t="4445" r="23495" b="13970"/>
            <wp:wrapTopAndBottom/>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eastAsia="仿宋_GB2312"/>
          <w:sz w:val="32"/>
          <w:szCs w:val="32"/>
        </w:rPr>
        <w:t>图1：收入决算结构饼状图</w:t>
      </w:r>
    </w:p>
    <w:p>
      <w:pPr>
        <w:pStyle w:val="3"/>
        <w:spacing w:before="0" w:after="0" w:line="580" w:lineRule="exact"/>
        <w:ind w:firstLine="960" w:firstLineChars="300"/>
        <w:rPr>
          <w:rFonts w:ascii="黑体" w:eastAsia="黑体"/>
          <w:b w:val="0"/>
          <w:bCs w:val="0"/>
        </w:rPr>
      </w:pPr>
      <w:r>
        <w:rPr>
          <w:rFonts w:hint="eastAsia" w:ascii="黑体" w:eastAsia="黑体"/>
          <w:b w:val="0"/>
          <w:bCs w:val="0"/>
        </w:rPr>
        <w:t>三、支出决算情况说明</w:t>
      </w:r>
    </w:p>
    <w:p>
      <w:pPr>
        <w:spacing w:line="600" w:lineRule="exact"/>
        <w:ind w:left="319" w:leftChars="152" w:firstLine="640" w:firstLineChars="200"/>
        <w:jc w:val="left"/>
        <w:rPr>
          <w:rFonts w:hint="eastAsia" w:ascii="仿宋_GB2312" w:hAnsi="仿宋_GB2312" w:eastAsia="仿宋_GB2312" w:cs="仿宋_GB2312"/>
          <w:bCs/>
          <w:sz w:val="32"/>
          <w:szCs w:val="32"/>
          <w:lang w:val="en-US"/>
        </w:rPr>
      </w:pPr>
      <w:r>
        <w:rPr>
          <w:rFonts w:hint="eastAsia" w:ascii="仿宋_GB2312" w:hAnsi="仿宋_GB2312" w:eastAsia="仿宋_GB2312" w:cs="仿宋_GB2312"/>
          <w:bCs/>
          <w:sz w:val="32"/>
          <w:szCs w:val="32"/>
        </w:rPr>
        <w:t>本部门201</w:t>
      </w:r>
      <w:r>
        <w:rPr>
          <w:rFonts w:hint="eastAsia" w:ascii="仿宋_GB2312" w:hAnsi="仿宋_GB2312" w:eastAsia="仿宋_GB2312" w:cs="仿宋_GB2312"/>
          <w:bCs/>
          <w:sz w:val="32"/>
          <w:szCs w:val="32"/>
          <w:lang w:val="en-US" w:eastAsia="zh-CN"/>
        </w:rPr>
        <w:t>8</w:t>
      </w:r>
      <w:r>
        <w:rPr>
          <w:rFonts w:hint="eastAsia" w:ascii="仿宋_GB2312" w:hAnsi="仿宋_GB2312" w:eastAsia="仿宋_GB2312" w:cs="仿宋_GB2312"/>
          <w:bCs/>
          <w:sz w:val="32"/>
          <w:szCs w:val="32"/>
        </w:rPr>
        <w:t>年</w:t>
      </w:r>
      <w:r>
        <w:rPr>
          <w:rFonts w:hint="eastAsia" w:ascii="仿宋_GB2312" w:hAnsi="仿宋_GB2312" w:eastAsia="仿宋_GB2312" w:cs="仿宋_GB2312"/>
          <w:bCs/>
          <w:sz w:val="32"/>
          <w:szCs w:val="32"/>
          <w:lang w:eastAsia="zh-CN"/>
        </w:rPr>
        <w:t>度本年</w:t>
      </w:r>
      <w:r>
        <w:rPr>
          <w:rFonts w:hint="eastAsia" w:ascii="仿宋_GB2312" w:hAnsi="仿宋_GB2312" w:eastAsia="仿宋_GB2312" w:cs="仿宋_GB2312"/>
          <w:bCs/>
          <w:sz w:val="32"/>
          <w:szCs w:val="32"/>
        </w:rPr>
        <w:t>支出</w:t>
      </w:r>
      <w:r>
        <w:rPr>
          <w:rFonts w:hint="eastAsia" w:ascii="仿宋_GB2312" w:hAnsi="仿宋_GB2312" w:eastAsia="仿宋_GB2312" w:cs="仿宋_GB2312"/>
          <w:bCs/>
          <w:sz w:val="32"/>
          <w:szCs w:val="32"/>
          <w:lang w:eastAsia="zh-CN"/>
        </w:rPr>
        <w:t>合计</w:t>
      </w:r>
      <w:r>
        <w:rPr>
          <w:rFonts w:hint="eastAsia" w:ascii="仿宋_GB2312" w:hAnsi="仿宋_GB2312" w:eastAsia="仿宋_GB2312" w:cs="仿宋_GB2312"/>
          <w:snapToGrid w:val="0"/>
          <w:kern w:val="0"/>
          <w:sz w:val="32"/>
          <w:szCs w:val="32"/>
        </w:rPr>
        <w:t>95237.02</w:t>
      </w:r>
      <w:r>
        <w:rPr>
          <w:rFonts w:hint="eastAsia" w:ascii="仿宋_GB2312" w:hAnsi="仿宋_GB2312" w:eastAsia="仿宋_GB2312" w:cs="仿宋_GB2312"/>
          <w:bCs/>
          <w:sz w:val="32"/>
          <w:szCs w:val="32"/>
        </w:rPr>
        <w:t>万元，其中：基本支出1870.96万元</w:t>
      </w:r>
      <w:r>
        <w:rPr>
          <w:rFonts w:hint="eastAsia" w:ascii="仿宋_GB2312" w:hAnsi="仿宋_GB2312" w:eastAsia="仿宋_GB2312" w:cs="仿宋_GB2312"/>
          <w:bCs/>
          <w:sz w:val="32"/>
          <w:szCs w:val="32"/>
          <w:lang w:eastAsia="zh-CN"/>
        </w:rPr>
        <w:t>占</w:t>
      </w:r>
      <w:r>
        <w:rPr>
          <w:rFonts w:hint="eastAsia" w:ascii="仿宋_GB2312" w:hAnsi="仿宋_GB2312" w:eastAsia="仿宋_GB2312" w:cs="仿宋_GB2312"/>
          <w:bCs/>
          <w:sz w:val="32"/>
          <w:szCs w:val="32"/>
          <w:lang w:val="en-US" w:eastAsia="zh-CN"/>
        </w:rPr>
        <w:t>1.96%</w:t>
      </w:r>
      <w:r>
        <w:rPr>
          <w:rFonts w:hint="eastAsia" w:ascii="仿宋_GB2312" w:hAnsi="仿宋_GB2312" w:eastAsia="仿宋_GB2312" w:cs="仿宋_GB2312"/>
          <w:bCs/>
          <w:sz w:val="32"/>
          <w:szCs w:val="32"/>
        </w:rPr>
        <w:t>；项目支出93366.06万元</w:t>
      </w:r>
      <w:r>
        <w:rPr>
          <w:rFonts w:hint="eastAsia" w:ascii="仿宋_GB2312" w:hAnsi="仿宋_GB2312" w:eastAsia="仿宋_GB2312" w:cs="仿宋_GB2312"/>
          <w:bCs/>
          <w:sz w:val="32"/>
          <w:szCs w:val="32"/>
          <w:lang w:eastAsia="zh-CN"/>
        </w:rPr>
        <w:t>，占</w:t>
      </w:r>
      <w:r>
        <w:rPr>
          <w:rFonts w:hint="eastAsia" w:ascii="仿宋_GB2312" w:hAnsi="仿宋_GB2312" w:eastAsia="仿宋_GB2312" w:cs="仿宋_GB2312"/>
          <w:bCs/>
          <w:sz w:val="32"/>
          <w:szCs w:val="32"/>
          <w:lang w:val="en-US" w:eastAsia="zh-CN"/>
        </w:rPr>
        <w:t>98.04%</w:t>
      </w:r>
      <w:r>
        <w:rPr>
          <w:rFonts w:hint="eastAsia" w:ascii="仿宋_GB2312" w:hAnsi="仿宋_GB2312" w:eastAsia="仿宋_GB2312" w:cs="仿宋_GB2312"/>
          <w:bCs/>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hAnsi="仿宋_GB2312" w:eastAsia="仿宋_GB2312" w:cs="仿宋_GB2312"/>
          <w:sz w:val="32"/>
          <w:szCs w:val="32"/>
        </w:rPr>
        <w:t>如图所示</w:t>
      </w:r>
      <w:r>
        <w:rPr>
          <w:rFonts w:hint="eastAsia" w:ascii="仿宋_GB2312" w:eastAsia="仿宋_GB2312" w:cs="DengXian-Regular"/>
          <w:sz w:val="32"/>
          <w:szCs w:val="32"/>
        </w:rPr>
        <w:t>：</w:t>
      </w:r>
    </w:p>
    <w:p>
      <w:pPr>
        <w:adjustRightInd w:val="0"/>
        <w:snapToGrid w:val="0"/>
        <w:spacing w:after="0" w:line="580" w:lineRule="exact"/>
        <w:jc w:val="center"/>
        <w:rPr>
          <w:rFonts w:ascii="仿宋_GB2312" w:eastAsia="仿宋_GB2312" w:cs="DengXian-Regular"/>
          <w:sz w:val="32"/>
          <w:szCs w:val="32"/>
        </w:rPr>
      </w:pPr>
      <w:r>
        <w:rPr>
          <w:rFonts w:eastAsia="仿宋_GB2312"/>
          <w:sz w:val="32"/>
          <w:szCs w:val="32"/>
        </w:rPr>
        <w:t>图2：支出决算结构饼状图</w:t>
      </w:r>
    </w:p>
    <w:p>
      <w:pPr>
        <w:adjustRightInd w:val="0"/>
        <w:snapToGrid w:val="0"/>
        <w:spacing w:after="0" w:line="580" w:lineRule="exact"/>
        <w:ind w:firstLine="420" w:firstLineChars="200"/>
        <w:rPr>
          <w:rFonts w:ascii="仿宋_GB2312" w:eastAsia="仿宋_GB2312" w:cs="DengXian-Regular"/>
          <w:sz w:val="32"/>
          <w:szCs w:val="32"/>
        </w:rPr>
      </w:pPr>
      <w:r>
        <w:drawing>
          <wp:anchor distT="0" distB="0" distL="114300" distR="114300" simplePos="0" relativeHeight="251659264" behindDoc="0" locked="0" layoutInCell="1" allowOverlap="1">
            <wp:simplePos x="0" y="0"/>
            <wp:positionH relativeFrom="column">
              <wp:posOffset>585470</wp:posOffset>
            </wp:positionH>
            <wp:positionV relativeFrom="paragraph">
              <wp:posOffset>228600</wp:posOffset>
            </wp:positionV>
            <wp:extent cx="4619625" cy="2145665"/>
            <wp:effectExtent l="5080" t="4445" r="4445" b="21590"/>
            <wp:wrapTopAndBottom/>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adjustRightInd w:val="0"/>
        <w:snapToGrid w:val="0"/>
        <w:spacing w:after="0" w:line="580" w:lineRule="exact"/>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本部门2018年度财政拨款本年收入</w:t>
      </w:r>
      <w:r>
        <w:rPr>
          <w:rFonts w:hint="eastAsia" w:ascii="仿宋_GB2312" w:hAnsi="仿宋_GB2312" w:eastAsia="仿宋_GB2312" w:cs="仿宋_GB2312"/>
          <w:snapToGrid w:val="0"/>
          <w:kern w:val="0"/>
          <w:sz w:val="32"/>
          <w:szCs w:val="32"/>
        </w:rPr>
        <w:t>95250.08</w:t>
      </w:r>
      <w:r>
        <w:rPr>
          <w:rFonts w:hint="eastAsia" w:ascii="仿宋_GB2312" w:hAnsi="仿宋_GB2312" w:eastAsia="仿宋_GB2312" w:cs="仿宋_GB2312"/>
          <w:sz w:val="32"/>
          <w:szCs w:val="32"/>
        </w:rPr>
        <w:t>万元,比2017年度</w:t>
      </w:r>
      <w:r>
        <w:rPr>
          <w:rFonts w:hint="eastAsia" w:ascii="仿宋_GB2312" w:hAnsi="仿宋_GB2312" w:eastAsia="仿宋_GB2312" w:cs="仿宋_GB2312"/>
          <w:sz w:val="32"/>
          <w:szCs w:val="32"/>
          <w:lang w:eastAsia="zh-CN"/>
        </w:rPr>
        <w:t>减少</w:t>
      </w:r>
      <w:r>
        <w:rPr>
          <w:rFonts w:hint="eastAsia" w:ascii="仿宋_GB2312" w:hAnsi="仿宋_GB2312" w:eastAsia="仿宋_GB2312" w:cs="仿宋_GB2312"/>
          <w:sz w:val="32"/>
          <w:szCs w:val="32"/>
          <w:lang w:val="en-US" w:eastAsia="zh-CN"/>
        </w:rPr>
        <w:t>10838.29</w:t>
      </w:r>
      <w:r>
        <w:rPr>
          <w:rFonts w:hint="eastAsia" w:ascii="仿宋_GB2312" w:hAnsi="仿宋_GB2312" w:eastAsia="仿宋_GB2312" w:cs="仿宋_GB2312"/>
          <w:sz w:val="32"/>
          <w:szCs w:val="32"/>
        </w:rPr>
        <w:t>万元，降低</w:t>
      </w:r>
      <w:r>
        <w:rPr>
          <w:rFonts w:hint="eastAsia" w:ascii="仿宋_GB2312" w:hAnsi="仿宋_GB2312" w:eastAsia="仿宋_GB2312" w:cs="仿宋_GB2312"/>
          <w:bCs/>
          <w:color w:val="auto"/>
          <w:sz w:val="32"/>
          <w:szCs w:val="32"/>
          <w:lang w:val="en-US" w:eastAsia="zh-CN"/>
        </w:rPr>
        <w:t>10.22</w:t>
      </w:r>
      <w:r>
        <w:rPr>
          <w:rFonts w:hint="eastAsia" w:ascii="仿宋_GB2312" w:hAnsi="仿宋_GB2312" w:eastAsia="仿宋_GB2312" w:cs="仿宋_GB2312"/>
          <w:sz w:val="32"/>
          <w:szCs w:val="32"/>
        </w:rPr>
        <w:t>%，主要是</w:t>
      </w:r>
      <w:r>
        <w:rPr>
          <w:rFonts w:hint="eastAsia" w:ascii="仿宋_GB2312" w:hAnsi="仿宋_GB2312" w:eastAsia="仿宋_GB2312" w:cs="仿宋_GB2312"/>
          <w:bCs/>
          <w:color w:val="auto"/>
          <w:sz w:val="32"/>
          <w:szCs w:val="32"/>
          <w:lang w:val="en-US" w:eastAsia="zh-CN"/>
        </w:rPr>
        <w:t>政府性基金预算减少</w:t>
      </w:r>
      <w:r>
        <w:rPr>
          <w:rFonts w:hint="eastAsia" w:ascii="仿宋_GB2312" w:hAnsi="仿宋_GB2312" w:eastAsia="仿宋_GB2312" w:cs="仿宋_GB2312"/>
          <w:sz w:val="32"/>
          <w:szCs w:val="32"/>
        </w:rPr>
        <w:t>；本年支出</w:t>
      </w:r>
      <w:r>
        <w:rPr>
          <w:rFonts w:hint="eastAsia" w:ascii="仿宋_GB2312" w:hAnsi="仿宋_GB2312" w:eastAsia="仿宋_GB2312" w:cs="仿宋_GB2312"/>
          <w:snapToGrid w:val="0"/>
          <w:kern w:val="0"/>
          <w:sz w:val="32"/>
          <w:szCs w:val="32"/>
        </w:rPr>
        <w:t>95237.02</w:t>
      </w:r>
      <w:r>
        <w:rPr>
          <w:rFonts w:hint="eastAsia" w:ascii="仿宋_GB2312" w:hAnsi="仿宋_GB2312" w:eastAsia="仿宋_GB2312" w:cs="仿宋_GB2312"/>
          <w:sz w:val="32"/>
          <w:szCs w:val="32"/>
        </w:rPr>
        <w:t>万元，减少</w:t>
      </w:r>
      <w:r>
        <w:rPr>
          <w:rFonts w:hint="eastAsia" w:ascii="仿宋_GB2312" w:hAnsi="仿宋_GB2312" w:eastAsia="仿宋_GB2312" w:cs="仿宋_GB2312"/>
          <w:bCs/>
          <w:color w:val="auto"/>
          <w:sz w:val="32"/>
          <w:szCs w:val="32"/>
          <w:lang w:val="en-US" w:eastAsia="zh-CN"/>
        </w:rPr>
        <w:t>10922.92</w:t>
      </w:r>
      <w:r>
        <w:rPr>
          <w:rFonts w:hint="eastAsia" w:ascii="仿宋_GB2312" w:hAnsi="仿宋_GB2312" w:eastAsia="仿宋_GB2312" w:cs="仿宋_GB2312"/>
          <w:sz w:val="32"/>
          <w:szCs w:val="32"/>
        </w:rPr>
        <w:t>万元，降低</w:t>
      </w:r>
      <w:r>
        <w:rPr>
          <w:rFonts w:hint="eastAsia" w:ascii="仿宋_GB2312" w:hAnsi="仿宋_GB2312" w:eastAsia="仿宋_GB2312" w:cs="仿宋_GB2312"/>
          <w:bCs/>
          <w:color w:val="auto"/>
          <w:sz w:val="32"/>
          <w:szCs w:val="32"/>
          <w:lang w:val="en-US" w:eastAsia="zh-CN"/>
        </w:rPr>
        <w:t>10.29</w:t>
      </w:r>
      <w:r>
        <w:rPr>
          <w:rFonts w:hint="eastAsia" w:ascii="仿宋_GB2312" w:hAnsi="仿宋_GB2312" w:eastAsia="仿宋_GB2312" w:cs="仿宋_GB2312"/>
          <w:sz w:val="32"/>
          <w:szCs w:val="32"/>
        </w:rPr>
        <w:t>%，主要是</w:t>
      </w:r>
      <w:r>
        <w:rPr>
          <w:rFonts w:hint="eastAsia" w:ascii="仿宋_GB2312" w:hAnsi="仿宋_GB2312" w:eastAsia="仿宋_GB2312" w:cs="仿宋_GB2312"/>
          <w:bCs/>
          <w:color w:val="auto"/>
          <w:sz w:val="32"/>
          <w:szCs w:val="32"/>
          <w:lang w:val="en-US" w:eastAsia="zh-CN"/>
        </w:rPr>
        <w:t>政府性基金支出减少</w:t>
      </w:r>
      <w:r>
        <w:rPr>
          <w:rFonts w:hint="eastAsia" w:ascii="仿宋_GB2312" w:hAnsi="仿宋_GB2312" w:eastAsia="仿宋_GB2312" w:cs="仿宋_GB2312"/>
          <w:sz w:val="32"/>
          <w:szCs w:val="32"/>
        </w:rPr>
        <w:t>。</w:t>
      </w:r>
    </w:p>
    <w:p>
      <w:pPr>
        <w:adjustRightInd w:val="0"/>
        <w:snapToGrid w:val="0"/>
        <w:spacing w:after="0"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其中：一般公共预算财政拨款本年收入</w:t>
      </w:r>
      <w:r>
        <w:rPr>
          <w:rFonts w:hint="eastAsia" w:ascii="仿宋_GB2312" w:hAnsi="仿宋_GB2312" w:eastAsia="仿宋_GB2312" w:cs="仿宋_GB2312"/>
          <w:sz w:val="32"/>
          <w:szCs w:val="32"/>
          <w:lang w:eastAsia="zh-CN"/>
        </w:rPr>
        <w:t>40473.46</w:t>
      </w:r>
      <w:r>
        <w:rPr>
          <w:rFonts w:hint="eastAsia" w:ascii="仿宋_GB2312" w:hAnsi="仿宋_GB2312" w:eastAsia="仿宋_GB2312" w:cs="仿宋_GB2312"/>
          <w:sz w:val="32"/>
          <w:szCs w:val="32"/>
        </w:rPr>
        <w:t>万元，比2017年度增加</w:t>
      </w:r>
      <w:r>
        <w:rPr>
          <w:rFonts w:hint="eastAsia" w:ascii="仿宋_GB2312" w:hAnsi="仿宋_GB2312" w:eastAsia="仿宋_GB2312" w:cs="仿宋_GB2312"/>
          <w:sz w:val="32"/>
          <w:szCs w:val="32"/>
          <w:lang w:val="en-US" w:eastAsia="zh-CN"/>
        </w:rPr>
        <w:t>905.5</w:t>
      </w:r>
      <w:r>
        <w:rPr>
          <w:rFonts w:hint="eastAsia" w:ascii="仿宋_GB2312" w:hAnsi="仿宋_GB2312" w:eastAsia="仿宋_GB2312" w:cs="仿宋_GB2312"/>
          <w:sz w:val="32"/>
          <w:szCs w:val="32"/>
        </w:rPr>
        <w:t>万元；主要是</w:t>
      </w:r>
      <w:r>
        <w:rPr>
          <w:rFonts w:hint="eastAsia" w:ascii="仿宋_GB2312" w:hAnsi="仿宋_GB2312" w:eastAsia="仿宋_GB2312" w:cs="仿宋_GB2312"/>
          <w:sz w:val="32"/>
          <w:szCs w:val="32"/>
          <w:lang w:eastAsia="zh-CN"/>
        </w:rPr>
        <w:t>医疗卫生与计划生育预算增加</w:t>
      </w:r>
      <w:r>
        <w:rPr>
          <w:rFonts w:hint="eastAsia" w:ascii="仿宋_GB2312" w:hAnsi="仿宋_GB2312" w:eastAsia="仿宋_GB2312" w:cs="仿宋_GB2312"/>
          <w:sz w:val="32"/>
          <w:szCs w:val="32"/>
        </w:rPr>
        <w:t>；本年支出</w:t>
      </w:r>
      <w:r>
        <w:rPr>
          <w:rFonts w:hint="eastAsia" w:ascii="仿宋_GB2312" w:hAnsi="仿宋_GB2312" w:eastAsia="仿宋_GB2312" w:cs="仿宋_GB2312"/>
          <w:sz w:val="32"/>
          <w:szCs w:val="32"/>
          <w:lang w:eastAsia="zh-CN"/>
        </w:rPr>
        <w:t>40460.4</w:t>
      </w:r>
      <w:r>
        <w:rPr>
          <w:rFonts w:hint="eastAsia" w:ascii="仿宋_GB2312" w:hAnsi="仿宋_GB2312" w:eastAsia="仿宋_GB2312" w:cs="仿宋_GB2312"/>
          <w:sz w:val="32"/>
          <w:szCs w:val="32"/>
        </w:rPr>
        <w:t>万元，比2017年度增加</w:t>
      </w:r>
      <w:r>
        <w:rPr>
          <w:rFonts w:hint="eastAsia" w:ascii="仿宋_GB2312" w:hAnsi="仿宋_GB2312" w:eastAsia="仿宋_GB2312" w:cs="仿宋_GB2312"/>
          <w:sz w:val="32"/>
          <w:szCs w:val="32"/>
          <w:lang w:val="en-US" w:eastAsia="zh-CN"/>
        </w:rPr>
        <w:t>875.73</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2.21</w:t>
      </w:r>
      <w:r>
        <w:rPr>
          <w:rFonts w:hint="eastAsia" w:ascii="仿宋_GB2312" w:hAnsi="仿宋_GB2312" w:eastAsia="仿宋_GB2312" w:cs="仿宋_GB2312"/>
          <w:sz w:val="32"/>
          <w:szCs w:val="32"/>
        </w:rPr>
        <w:t>%，主要是</w:t>
      </w:r>
      <w:r>
        <w:rPr>
          <w:rFonts w:hint="eastAsia" w:ascii="仿宋_GB2312" w:hAnsi="仿宋_GB2312" w:eastAsia="仿宋_GB2312" w:cs="仿宋_GB2312"/>
          <w:sz w:val="32"/>
          <w:szCs w:val="32"/>
          <w:lang w:eastAsia="zh-CN"/>
        </w:rPr>
        <w:t>医疗卫生与计划生育支出增加</w:t>
      </w:r>
      <w:r>
        <w:rPr>
          <w:rFonts w:hint="eastAsia" w:ascii="仿宋_GB2312" w:hAnsi="仿宋_GB2312" w:eastAsia="仿宋_GB2312" w:cs="仿宋_GB2312"/>
          <w:sz w:val="32"/>
          <w:szCs w:val="32"/>
        </w:rPr>
        <w:t>。政府性基金预算财政拨款本年收入</w:t>
      </w:r>
      <w:r>
        <w:rPr>
          <w:rFonts w:hint="eastAsia" w:ascii="仿宋_GB2312" w:hAnsi="仿宋_GB2312" w:eastAsia="仿宋_GB2312" w:cs="仿宋_GB2312"/>
          <w:sz w:val="32"/>
          <w:szCs w:val="32"/>
          <w:lang w:val="en-US" w:eastAsia="zh-CN"/>
        </w:rPr>
        <w:t>54776.62</w:t>
      </w:r>
      <w:r>
        <w:rPr>
          <w:rFonts w:hint="eastAsia" w:ascii="仿宋_GB2312" w:hAnsi="仿宋_GB2312" w:eastAsia="仿宋_GB2312" w:cs="仿宋_GB2312"/>
          <w:sz w:val="32"/>
          <w:szCs w:val="32"/>
        </w:rPr>
        <w:t>万元，比2017年度减少</w:t>
      </w:r>
      <w:r>
        <w:rPr>
          <w:rFonts w:hint="eastAsia" w:ascii="仿宋_GB2312" w:hAnsi="仿宋_GB2312" w:eastAsia="仿宋_GB2312" w:cs="仿宋_GB2312"/>
          <w:sz w:val="32"/>
          <w:szCs w:val="32"/>
          <w:lang w:val="en-US" w:eastAsia="zh-CN"/>
        </w:rPr>
        <w:t>11743.79</w:t>
      </w:r>
      <w:r>
        <w:rPr>
          <w:rFonts w:hint="eastAsia" w:ascii="仿宋_GB2312" w:hAnsi="仿宋_GB2312" w:eastAsia="仿宋_GB2312" w:cs="仿宋_GB2312"/>
          <w:sz w:val="32"/>
          <w:szCs w:val="32"/>
        </w:rPr>
        <w:t>万元，降低</w:t>
      </w:r>
      <w:r>
        <w:rPr>
          <w:rFonts w:hint="eastAsia" w:ascii="仿宋_GB2312" w:hAnsi="仿宋_GB2312" w:eastAsia="仿宋_GB2312" w:cs="仿宋_GB2312"/>
          <w:sz w:val="32"/>
          <w:szCs w:val="32"/>
          <w:lang w:val="en-US" w:eastAsia="zh-CN"/>
        </w:rPr>
        <w:t>17.65</w:t>
      </w:r>
      <w:r>
        <w:rPr>
          <w:rFonts w:hint="eastAsia" w:ascii="仿宋_GB2312" w:hAnsi="仿宋_GB2312" w:eastAsia="仿宋_GB2312" w:cs="仿宋_GB2312"/>
          <w:sz w:val="32"/>
          <w:szCs w:val="32"/>
        </w:rPr>
        <w:t>%，主要是</w:t>
      </w:r>
      <w:r>
        <w:rPr>
          <w:rFonts w:hint="eastAsia" w:ascii="仿宋_GB2312" w:hAnsi="仿宋_GB2312" w:eastAsia="仿宋_GB2312" w:cs="仿宋_GB2312"/>
          <w:sz w:val="32"/>
          <w:szCs w:val="32"/>
          <w:lang w:eastAsia="zh-CN"/>
        </w:rPr>
        <w:t>失地农民养老保险和专项生活补贴部分减少</w:t>
      </w:r>
      <w:r>
        <w:rPr>
          <w:rFonts w:hint="eastAsia" w:ascii="仿宋_GB2312" w:hAnsi="仿宋_GB2312" w:eastAsia="仿宋_GB2312" w:cs="仿宋_GB2312"/>
          <w:sz w:val="32"/>
          <w:szCs w:val="32"/>
        </w:rPr>
        <w:t>；本年支出</w:t>
      </w:r>
      <w:r>
        <w:rPr>
          <w:rFonts w:hint="eastAsia" w:ascii="仿宋_GB2312" w:hAnsi="仿宋_GB2312" w:eastAsia="仿宋_GB2312" w:cs="仿宋_GB2312"/>
          <w:sz w:val="32"/>
          <w:szCs w:val="32"/>
          <w:lang w:val="en-US" w:eastAsia="zh-CN"/>
        </w:rPr>
        <w:t>54776.62</w:t>
      </w:r>
      <w:r>
        <w:rPr>
          <w:rFonts w:hint="eastAsia" w:ascii="仿宋_GB2312" w:hAnsi="仿宋_GB2312" w:eastAsia="仿宋_GB2312" w:cs="仿宋_GB2312"/>
          <w:sz w:val="32"/>
          <w:szCs w:val="32"/>
        </w:rPr>
        <w:t>万元，比2017年度减少</w:t>
      </w:r>
      <w:r>
        <w:rPr>
          <w:rFonts w:hint="eastAsia" w:ascii="仿宋_GB2312" w:hAnsi="仿宋_GB2312" w:eastAsia="仿宋_GB2312" w:cs="仿宋_GB2312"/>
          <w:sz w:val="32"/>
          <w:szCs w:val="32"/>
          <w:lang w:val="en-US" w:eastAsia="zh-CN"/>
        </w:rPr>
        <w:t>11743.79</w:t>
      </w:r>
      <w:r>
        <w:rPr>
          <w:rFonts w:hint="eastAsia" w:ascii="仿宋_GB2312" w:hAnsi="仿宋_GB2312" w:eastAsia="仿宋_GB2312" w:cs="仿宋_GB2312"/>
          <w:sz w:val="32"/>
          <w:szCs w:val="32"/>
        </w:rPr>
        <w:t>万元，降低</w:t>
      </w:r>
      <w:r>
        <w:rPr>
          <w:rFonts w:hint="eastAsia" w:ascii="仿宋_GB2312" w:hAnsi="仿宋_GB2312" w:eastAsia="仿宋_GB2312" w:cs="仿宋_GB2312"/>
          <w:sz w:val="32"/>
          <w:szCs w:val="32"/>
          <w:lang w:val="en-US" w:eastAsia="zh-CN"/>
        </w:rPr>
        <w:t>17.65</w:t>
      </w:r>
      <w:r>
        <w:rPr>
          <w:rFonts w:hint="eastAsia" w:ascii="仿宋_GB2312" w:hAnsi="仿宋_GB2312" w:eastAsia="仿宋_GB2312" w:cs="仿宋_GB2312"/>
          <w:sz w:val="32"/>
          <w:szCs w:val="32"/>
        </w:rPr>
        <w:t>%，主要是</w:t>
      </w:r>
      <w:r>
        <w:rPr>
          <w:rFonts w:hint="eastAsia" w:ascii="仿宋_GB2312" w:hAnsi="仿宋_GB2312" w:eastAsia="仿宋_GB2312" w:cs="仿宋_GB2312"/>
          <w:sz w:val="32"/>
          <w:szCs w:val="32"/>
          <w:lang w:eastAsia="zh-CN"/>
        </w:rPr>
        <w:t>失地农民养老保险和专项生活补贴部分减少</w:t>
      </w:r>
      <w:r>
        <w:rPr>
          <w:rFonts w:hint="eastAsia" w:ascii="仿宋_GB2312" w:hAnsi="仿宋_GB2312" w:eastAsia="仿宋_GB2312" w:cs="仿宋_GB2312"/>
          <w:sz w:val="32"/>
          <w:szCs w:val="32"/>
        </w:rPr>
        <w:t>。</w:t>
      </w:r>
    </w:p>
    <w:p>
      <w:pPr>
        <w:adjustRightInd w:val="0"/>
        <w:snapToGrid w:val="0"/>
        <w:spacing w:after="0" w:line="580" w:lineRule="exact"/>
        <w:jc w:val="center"/>
        <w:rPr>
          <w:rFonts w:hint="eastAsia" w:eastAsia="仿宋_GB2312"/>
          <w:sz w:val="32"/>
          <w:szCs w:val="32"/>
        </w:rPr>
      </w:pPr>
      <w:r>
        <w:rPr>
          <w:rFonts w:hint="eastAsia" w:eastAsia="仿宋_GB2312"/>
          <w:sz w:val="32"/>
          <w:szCs w:val="32"/>
        </w:rPr>
        <w:t>图3：财政拨款收支情况</w:t>
      </w:r>
    </w:p>
    <w:p>
      <w:pPr>
        <w:adjustRightInd w:val="0"/>
        <w:snapToGrid w:val="0"/>
        <w:spacing w:after="0" w:line="580" w:lineRule="exact"/>
        <w:jc w:val="right"/>
        <w:rPr>
          <w:rFonts w:hint="eastAsia" w:ascii="仿宋_GB2312" w:eastAsia="仿宋_GB2312" w:cs="DengXian-Regular"/>
          <w:sz w:val="24"/>
          <w:szCs w:val="24"/>
          <w:lang w:eastAsia="zh-CN"/>
        </w:rPr>
      </w:pPr>
      <w:r>
        <w:rPr>
          <w:rFonts w:hint="eastAsia" w:eastAsia="仿宋_GB2312"/>
          <w:sz w:val="24"/>
          <w:szCs w:val="24"/>
          <w:lang w:eastAsia="zh-CN"/>
        </w:rPr>
        <w:t>单位：万元</w:t>
      </w:r>
    </w:p>
    <w:p>
      <w:pPr>
        <w:adjustRightInd w:val="0"/>
        <w:snapToGrid w:val="0"/>
        <w:spacing w:after="0" w:line="580" w:lineRule="exact"/>
        <w:jc w:val="center"/>
        <w:rPr>
          <w:rFonts w:ascii="仿宋_GB2312" w:eastAsia="仿宋_GB2312" w:cs="DengXian-Regular"/>
          <w:sz w:val="32"/>
          <w:szCs w:val="32"/>
        </w:rPr>
      </w:pPr>
      <w:r>
        <w:drawing>
          <wp:anchor distT="0" distB="0" distL="114300" distR="114300" simplePos="0" relativeHeight="251662336" behindDoc="0" locked="0" layoutInCell="1" allowOverlap="1">
            <wp:simplePos x="0" y="0"/>
            <wp:positionH relativeFrom="column">
              <wp:posOffset>194945</wp:posOffset>
            </wp:positionH>
            <wp:positionV relativeFrom="paragraph">
              <wp:posOffset>16510</wp:posOffset>
            </wp:positionV>
            <wp:extent cx="4600575" cy="2743200"/>
            <wp:effectExtent l="4445" t="5080" r="5080" b="13970"/>
            <wp:wrapTopAndBottom/>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部门2018年度财政拨款本年收入95250.08万元，完成年初预算的142.6%,比年初预算增加28455.03万元，决算数大于预算数主要是社会保障和就业支出、医疗卫生与计划生育支出、城乡社区支出增加；本年支出95237.02万元，完成年初预算的142.58%,比年初预算增加28441.97万元，决算数大于预算数主要是社会保障和就业支出、医疗卫生与计划生育支出、城乡社区支出增加。</w:t>
      </w:r>
    </w:p>
    <w:p>
      <w:pPr>
        <w:adjustRightInd w:val="0"/>
        <w:snapToGrid w:val="0"/>
        <w:spacing w:after="0"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其中，一般公共预算财政拨款本年收入完成年初预算127.29%，比年初预算增加8678.41万元，决算数大于预算数主要是社会保障和就业支出、医疗卫生与计划生育支出、城乡社区支出增加；支出完成年初预算127.25%，比年初预算增加8665.35万元，决算数大于预算数主要是社会保障和就业支出、医疗卫生与计划生育支出、城乡社区支出增加。政府性基金预算财政拨款本年收入完成年初预算156.5%，比年初预算增加19776.62万元，决算数大于预算数主要是失地农民专项生活补贴部分增加；支出完成年初预算156.5%，比年初预算增加19776.62万元，决算数大于预算数主要是失地农民专项生活补贴部分增加。</w:t>
      </w:r>
    </w:p>
    <w:p>
      <w:pPr>
        <w:adjustRightInd w:val="0"/>
        <w:snapToGrid w:val="0"/>
        <w:spacing w:after="0" w:line="580" w:lineRule="exact"/>
        <w:ind w:firstLine="640" w:firstLineChars="20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图4：财政拨款收支预决算对比情况</w:t>
      </w:r>
    </w:p>
    <w:p>
      <w:pPr>
        <w:adjustRightInd w:val="0"/>
        <w:snapToGrid w:val="0"/>
        <w:spacing w:after="0" w:line="580" w:lineRule="exact"/>
        <w:jc w:val="right"/>
        <w:rPr>
          <w:rFonts w:ascii="仿宋_GB2312" w:eastAsia="仿宋_GB2312" w:cs="DengXian-Regular"/>
          <w:sz w:val="32"/>
          <w:szCs w:val="32"/>
          <w:highlight w:val="yellow"/>
        </w:rPr>
      </w:pPr>
      <w:r>
        <w:drawing>
          <wp:anchor distT="0" distB="0" distL="114300" distR="114300" simplePos="0" relativeHeight="251663360" behindDoc="0" locked="0" layoutInCell="1" allowOverlap="1">
            <wp:simplePos x="0" y="0"/>
            <wp:positionH relativeFrom="column">
              <wp:posOffset>486410</wp:posOffset>
            </wp:positionH>
            <wp:positionV relativeFrom="paragraph">
              <wp:posOffset>438150</wp:posOffset>
            </wp:positionV>
            <wp:extent cx="4572000" cy="2743200"/>
            <wp:effectExtent l="4445" t="4445" r="14605" b="14605"/>
            <wp:wrapTopAndBottom/>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eastAsia="仿宋_GB2312"/>
          <w:sz w:val="24"/>
          <w:szCs w:val="24"/>
          <w:lang w:eastAsia="zh-CN"/>
        </w:rPr>
        <w:t>单位：万元</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2018 年度财政拨款支出95237.02万元，主要用于以下方面：一般公共服务支出20万元，占0.02%；社会保障和就业支出33833.18万元，占35.52%；医疗卫生与计划生育支出6352.74万元，占6.67%；城乡社区支出54776.62万元，占57.52%；住房保障支出85.47万元，占0.09%;农林水支出169万元，占0.18%。</w:t>
      </w:r>
    </w:p>
    <w:p>
      <w:pPr>
        <w:adjustRightInd w:val="0"/>
        <w:snapToGrid w:val="0"/>
        <w:spacing w:after="0" w:line="580" w:lineRule="exact"/>
        <w:jc w:val="center"/>
        <w:rPr>
          <w:rFonts w:ascii="楷体_GB2312" w:eastAsia="楷体_GB2312" w:cs="DengXian-Bold"/>
          <w:b/>
          <w:bCs/>
          <w:sz w:val="32"/>
          <w:szCs w:val="32"/>
        </w:rPr>
      </w:pPr>
      <w:r>
        <w:rPr>
          <w:rFonts w:hint="eastAsia" w:eastAsia="仿宋_GB2312"/>
          <w:sz w:val="32"/>
          <w:szCs w:val="32"/>
        </w:rPr>
        <w:t>图5：财政拨款支出决算结构（按功能分类）</w:t>
      </w:r>
    </w:p>
    <w:p>
      <w:pPr>
        <w:adjustRightInd w:val="0"/>
        <w:snapToGrid w:val="0"/>
        <w:spacing w:after="0" w:line="580" w:lineRule="exact"/>
        <w:rPr>
          <w:rFonts w:ascii="楷体_GB2312" w:eastAsia="楷体_GB2312" w:cs="DengXian-Bold"/>
          <w:b/>
          <w:bCs/>
          <w:sz w:val="32"/>
          <w:szCs w:val="32"/>
        </w:rPr>
      </w:pPr>
      <w:r>
        <w:drawing>
          <wp:anchor distT="0" distB="0" distL="114300" distR="114300" simplePos="0" relativeHeight="251661312" behindDoc="0" locked="0" layoutInCell="1" allowOverlap="1">
            <wp:simplePos x="0" y="0"/>
            <wp:positionH relativeFrom="column">
              <wp:posOffset>537210</wp:posOffset>
            </wp:positionH>
            <wp:positionV relativeFrom="paragraph">
              <wp:posOffset>80010</wp:posOffset>
            </wp:positionV>
            <wp:extent cx="4543425" cy="2400935"/>
            <wp:effectExtent l="4445" t="4445" r="5080" b="13970"/>
            <wp:wrapTopAndBottom/>
            <wp:docPr id="19"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 年度一般公共预算财政拨款基本支出</w:t>
      </w:r>
      <w:r>
        <w:rPr>
          <w:rFonts w:hint="eastAsia" w:ascii="仿宋_GB2312" w:hAnsi="仿宋_GB2312" w:eastAsia="仿宋_GB2312" w:cs="仿宋_GB2312"/>
          <w:bCs/>
          <w:sz w:val="32"/>
          <w:szCs w:val="32"/>
        </w:rPr>
        <w:t>1870.96</w:t>
      </w:r>
      <w:r>
        <w:rPr>
          <w:rFonts w:hint="eastAsia" w:ascii="仿宋_GB2312" w:hAnsi="仿宋_GB2312" w:eastAsia="仿宋_GB2312" w:cs="仿宋_GB2312"/>
          <w:sz w:val="32"/>
          <w:szCs w:val="32"/>
        </w:rPr>
        <w:t xml:space="preserve">万元，其中：人员经费 </w:t>
      </w:r>
      <w:r>
        <w:rPr>
          <w:rFonts w:hint="eastAsia" w:ascii="仿宋_GB2312" w:hAnsi="仿宋_GB2312" w:eastAsia="仿宋_GB2312" w:cs="仿宋_GB2312"/>
          <w:snapToGrid w:val="0"/>
          <w:kern w:val="0"/>
          <w:sz w:val="32"/>
          <w:szCs w:val="32"/>
          <w:lang w:val="en-US" w:eastAsia="zh-CN"/>
        </w:rPr>
        <w:t>1667.04</w:t>
      </w:r>
      <w:r>
        <w:rPr>
          <w:rFonts w:hint="eastAsia" w:ascii="仿宋_GB2312" w:hAnsi="仿宋_GB2312" w:eastAsia="仿宋_GB2312" w:cs="仿宋_GB2312"/>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等；公用经费</w:t>
      </w:r>
      <w:r>
        <w:rPr>
          <w:rFonts w:hint="eastAsia" w:ascii="仿宋_GB2312" w:hAnsi="仿宋_GB2312" w:eastAsia="仿宋_GB2312" w:cs="仿宋_GB2312"/>
          <w:snapToGrid w:val="0"/>
          <w:kern w:val="0"/>
          <w:sz w:val="32"/>
          <w:szCs w:val="32"/>
          <w:lang w:val="en-US" w:eastAsia="zh-CN"/>
        </w:rPr>
        <w:t>203.92</w:t>
      </w:r>
      <w:r>
        <w:rPr>
          <w:rFonts w:hint="eastAsia" w:ascii="仿宋_GB2312" w:hAnsi="仿宋_GB2312" w:eastAsia="仿宋_GB2312" w:cs="仿宋_GB2312"/>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等。</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line="584" w:lineRule="exact"/>
        <w:ind w:firstLine="640" w:firstLineChars="200"/>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本部门2018年度一般公共预算财政拨款“三公”经费支出共计</w:t>
      </w:r>
      <w:r>
        <w:rPr>
          <w:rFonts w:hint="eastAsia" w:ascii="仿宋_GB2312" w:hAnsi="仿宋_GB2312" w:eastAsia="仿宋_GB2312" w:cs="仿宋_GB2312"/>
          <w:sz w:val="32"/>
          <w:szCs w:val="32"/>
          <w:lang w:val="en-US" w:eastAsia="zh-CN"/>
        </w:rPr>
        <w:t>10.52</w:t>
      </w:r>
      <w:r>
        <w:rPr>
          <w:rFonts w:hint="eastAsia" w:ascii="仿宋_GB2312" w:hAnsi="仿宋_GB2312" w:eastAsia="仿宋_GB2312" w:cs="仿宋_GB2312"/>
          <w:sz w:val="32"/>
          <w:szCs w:val="32"/>
        </w:rPr>
        <w:t>万元，比年初预算减少</w:t>
      </w:r>
      <w:r>
        <w:rPr>
          <w:rFonts w:hint="eastAsia" w:ascii="仿宋_GB2312" w:hAnsi="仿宋_GB2312" w:eastAsia="仿宋_GB2312" w:cs="仿宋_GB2312"/>
          <w:sz w:val="32"/>
          <w:szCs w:val="32"/>
          <w:lang w:val="en-US" w:eastAsia="zh-CN"/>
        </w:rPr>
        <w:t>3.06</w:t>
      </w:r>
      <w:r>
        <w:rPr>
          <w:rFonts w:hint="eastAsia" w:ascii="仿宋_GB2312" w:hAnsi="仿宋_GB2312" w:eastAsia="仿宋_GB2312" w:cs="仿宋_GB2312"/>
          <w:sz w:val="32"/>
          <w:szCs w:val="32"/>
        </w:rPr>
        <w:t>万元，降低</w:t>
      </w:r>
      <w:r>
        <w:rPr>
          <w:rFonts w:hint="eastAsia" w:ascii="仿宋_GB2312" w:hAnsi="仿宋_GB2312" w:eastAsia="仿宋_GB2312" w:cs="仿宋_GB2312"/>
          <w:sz w:val="32"/>
          <w:szCs w:val="32"/>
          <w:lang w:val="en-US" w:eastAsia="zh-CN"/>
        </w:rPr>
        <w:t>22.53</w:t>
      </w:r>
      <w:r>
        <w:rPr>
          <w:rFonts w:hint="eastAsia" w:ascii="仿宋_GB2312" w:hAnsi="仿宋_GB2312" w:eastAsia="仿宋_GB2312" w:cs="仿宋_GB2312"/>
          <w:sz w:val="32"/>
          <w:szCs w:val="32"/>
        </w:rPr>
        <w:t>%，主要是</w:t>
      </w:r>
      <w:r>
        <w:rPr>
          <w:rFonts w:hint="eastAsia" w:ascii="仿宋_GB2312" w:hAnsi="仿宋_GB2312" w:eastAsia="仿宋_GB2312" w:cs="仿宋_GB2312"/>
          <w:sz w:val="32"/>
          <w:szCs w:val="32"/>
          <w:lang w:eastAsia="zh-CN"/>
        </w:rPr>
        <w:t>单位厉行节约原则，严格控制支出</w:t>
      </w:r>
      <w:r>
        <w:rPr>
          <w:rFonts w:hint="eastAsia" w:ascii="仿宋_GB2312" w:hAnsi="仿宋_GB2312" w:eastAsia="仿宋_GB2312" w:cs="仿宋_GB2312"/>
          <w:sz w:val="32"/>
          <w:szCs w:val="32"/>
        </w:rPr>
        <w:t>；比2017年度决算</w:t>
      </w:r>
      <w:r>
        <w:rPr>
          <w:rFonts w:hint="eastAsia" w:ascii="仿宋_GB2312" w:hAnsi="仿宋_GB2312" w:eastAsia="仿宋_GB2312" w:cs="仿宋_GB2312"/>
          <w:sz w:val="32"/>
          <w:szCs w:val="32"/>
          <w:lang w:eastAsia="zh-CN"/>
        </w:rPr>
        <w:t>减少</w:t>
      </w: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降低</w:t>
      </w:r>
      <w:r>
        <w:rPr>
          <w:rFonts w:hint="eastAsia" w:ascii="仿宋_GB2312" w:hAnsi="仿宋_GB2312" w:eastAsia="仿宋_GB2312" w:cs="仿宋_GB2312"/>
          <w:sz w:val="32"/>
          <w:szCs w:val="32"/>
          <w:lang w:val="en-US" w:eastAsia="zh-CN"/>
        </w:rPr>
        <w:t>20.42</w:t>
      </w:r>
      <w:r>
        <w:rPr>
          <w:rFonts w:hint="eastAsia" w:ascii="仿宋_GB2312" w:hAnsi="仿宋_GB2312" w:eastAsia="仿宋_GB2312" w:cs="仿宋_GB2312"/>
          <w:sz w:val="32"/>
          <w:szCs w:val="32"/>
        </w:rPr>
        <w:t>%，主要是</w:t>
      </w:r>
      <w:r>
        <w:rPr>
          <w:rFonts w:hint="eastAsia" w:ascii="仿宋_GB2312" w:hAnsi="仿宋_GB2312" w:eastAsia="仿宋_GB2312" w:cs="仿宋_GB2312"/>
          <w:sz w:val="32"/>
          <w:szCs w:val="32"/>
          <w:lang w:eastAsia="zh-CN"/>
        </w:rPr>
        <w:t>单位厉行节约原则，严格控制支出</w:t>
      </w:r>
      <w:r>
        <w:rPr>
          <w:rFonts w:hint="eastAsia" w:ascii="仿宋_GB2312" w:hAnsi="仿宋_GB2312" w:eastAsia="仿宋_GB2312" w:cs="仿宋_GB2312"/>
          <w:sz w:val="32"/>
          <w:szCs w:val="32"/>
        </w:rPr>
        <w:t>。具体情况如下：</w:t>
      </w:r>
    </w:p>
    <w:p>
      <w:pPr>
        <w:numPr>
          <w:ilvl w:val="0"/>
          <w:numId w:val="2"/>
        </w:numPr>
        <w:adjustRightInd w:val="0"/>
        <w:snapToGrid w:val="0"/>
        <w:spacing w:line="584" w:lineRule="exact"/>
        <w:ind w:firstLine="643" w:firstLineChars="200"/>
        <w:rPr>
          <w:rFonts w:eastAsia="楷体_GB2312"/>
          <w:b/>
          <w:bCs/>
          <w:sz w:val="32"/>
          <w:szCs w:val="32"/>
        </w:rPr>
      </w:pPr>
      <w:r>
        <w:rPr>
          <w:rFonts w:eastAsia="楷体_GB2312"/>
          <w:b/>
          <w:bCs/>
          <w:sz w:val="32"/>
          <w:szCs w:val="32"/>
        </w:rPr>
        <w:t>因公出国（境）费支出</w:t>
      </w:r>
      <w:r>
        <w:rPr>
          <w:rFonts w:hint="eastAsia" w:eastAsia="楷体_GB2312"/>
          <w:b/>
          <w:bCs/>
          <w:sz w:val="32"/>
          <w:szCs w:val="32"/>
          <w:lang w:val="en-US" w:eastAsia="zh-CN"/>
        </w:rPr>
        <w:t>0</w:t>
      </w:r>
      <w:r>
        <w:rPr>
          <w:rFonts w:eastAsia="楷体_GB2312"/>
          <w:b/>
          <w:bCs/>
          <w:sz w:val="32"/>
          <w:szCs w:val="32"/>
        </w:rPr>
        <w:t>万元。</w:t>
      </w:r>
    </w:p>
    <w:p>
      <w:pPr>
        <w:adjustRightInd w:val="0"/>
        <w:snapToGrid w:val="0"/>
        <w:spacing w:line="584" w:lineRule="exact"/>
        <w:ind w:firstLine="640" w:firstLineChars="200"/>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本部门2018年度</w:t>
      </w:r>
      <w:r>
        <w:rPr>
          <w:rFonts w:hint="eastAsia" w:ascii="仿宋_GB2312" w:hAnsi="仿宋_GB2312" w:eastAsia="仿宋_GB2312" w:cs="仿宋_GB2312"/>
          <w:sz w:val="32"/>
          <w:szCs w:val="32"/>
          <w:lang w:eastAsia="zh-CN"/>
        </w:rPr>
        <w:t>未发生</w:t>
      </w:r>
      <w:r>
        <w:rPr>
          <w:rFonts w:hint="eastAsia" w:ascii="仿宋_GB2312" w:hAnsi="仿宋_GB2312" w:eastAsia="仿宋_GB2312" w:cs="仿宋_GB2312"/>
          <w:sz w:val="32"/>
          <w:szCs w:val="32"/>
        </w:rPr>
        <w:t>因公出国（境）</w:t>
      </w:r>
      <w:r>
        <w:rPr>
          <w:rFonts w:hint="eastAsia" w:ascii="仿宋_GB2312" w:hAnsi="仿宋_GB2312" w:eastAsia="仿宋_GB2312" w:cs="仿宋_GB2312"/>
          <w:sz w:val="32"/>
          <w:szCs w:val="32"/>
          <w:lang w:eastAsia="zh-CN"/>
        </w:rPr>
        <w:t>支出此项</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较年初预算无增减变化，较</w:t>
      </w:r>
      <w:r>
        <w:rPr>
          <w:rFonts w:hint="eastAsia" w:ascii="仿宋_GB2312" w:hAnsi="仿宋_GB2312" w:eastAsia="仿宋_GB2312" w:cs="仿宋_GB2312"/>
          <w:sz w:val="32"/>
          <w:szCs w:val="32"/>
          <w:lang w:val="en-US" w:eastAsia="zh-CN"/>
        </w:rPr>
        <w:t>2017年决算无增减变化。</w:t>
      </w:r>
    </w:p>
    <w:p>
      <w:pPr>
        <w:numPr>
          <w:ilvl w:val="0"/>
          <w:numId w:val="2"/>
        </w:numPr>
        <w:adjustRightInd w:val="0"/>
        <w:snapToGrid w:val="0"/>
        <w:spacing w:line="584" w:lineRule="exact"/>
        <w:ind w:left="0" w:leftChars="0" w:firstLine="643" w:firstLineChars="200"/>
        <w:rPr>
          <w:rFonts w:eastAsia="楷体_GB2312"/>
          <w:b/>
          <w:bCs/>
          <w:sz w:val="32"/>
          <w:szCs w:val="32"/>
        </w:rPr>
      </w:pPr>
      <w:r>
        <w:rPr>
          <w:rFonts w:eastAsia="楷体_GB2312"/>
          <w:b/>
          <w:bCs/>
          <w:sz w:val="32"/>
          <w:szCs w:val="32"/>
        </w:rPr>
        <w:t>公务用车购置及运行维护费支出</w:t>
      </w:r>
      <w:r>
        <w:rPr>
          <w:rFonts w:hint="eastAsia" w:eastAsia="楷体_GB2312"/>
          <w:b/>
          <w:bCs/>
          <w:sz w:val="32"/>
          <w:szCs w:val="32"/>
          <w:lang w:val="en-US" w:eastAsia="zh-CN"/>
        </w:rPr>
        <w:t>9.62</w:t>
      </w:r>
      <w:r>
        <w:rPr>
          <w:rFonts w:eastAsia="楷体_GB2312"/>
          <w:b/>
          <w:bCs/>
          <w:sz w:val="32"/>
          <w:szCs w:val="32"/>
        </w:rPr>
        <w:t>万元。</w:t>
      </w:r>
    </w:p>
    <w:p>
      <w:pPr>
        <w:numPr>
          <w:ilvl w:val="0"/>
          <w:numId w:val="0"/>
        </w:numPr>
        <w:adjustRightInd w:val="0"/>
        <w:snapToGrid w:val="0"/>
        <w:spacing w:line="584" w:lineRule="exact"/>
        <w:ind w:firstLine="640" w:firstLineChars="200"/>
        <w:rPr>
          <w:rFonts w:eastAsia="仿宋_GB2312"/>
          <w:b/>
          <w:bCs/>
          <w:sz w:val="32"/>
          <w:szCs w:val="32"/>
        </w:rPr>
      </w:pPr>
      <w:r>
        <w:rPr>
          <w:rFonts w:hint="eastAsia" w:ascii="仿宋_GB2312" w:hAnsi="仿宋_GB2312" w:eastAsia="仿宋_GB2312" w:cs="仿宋_GB2312"/>
          <w:sz w:val="32"/>
          <w:szCs w:val="32"/>
        </w:rPr>
        <w:t>本部门2018年度公务用车购置及运行维护费比年初预算</w:t>
      </w:r>
      <w:r>
        <w:rPr>
          <w:rFonts w:hint="eastAsia" w:ascii="仿宋_GB2312" w:hAnsi="仿宋_GB2312" w:eastAsia="仿宋_GB2312" w:cs="仿宋_GB2312"/>
          <w:sz w:val="32"/>
          <w:szCs w:val="32"/>
          <w:lang w:eastAsia="zh-CN"/>
        </w:rPr>
        <w:t>减少</w:t>
      </w:r>
      <w:r>
        <w:rPr>
          <w:rFonts w:hint="eastAsia" w:ascii="仿宋_GB2312" w:hAnsi="仿宋_GB2312" w:eastAsia="仿宋_GB2312" w:cs="仿宋_GB2312"/>
          <w:sz w:val="32"/>
          <w:szCs w:val="32"/>
          <w:lang w:val="en-US" w:eastAsia="zh-CN"/>
        </w:rPr>
        <w:t>4.68</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降低</w:t>
      </w:r>
      <w:r>
        <w:rPr>
          <w:rFonts w:hint="eastAsia" w:ascii="仿宋_GB2312" w:hAnsi="仿宋_GB2312" w:eastAsia="仿宋_GB2312" w:cs="仿宋_GB2312"/>
          <w:sz w:val="32"/>
          <w:szCs w:val="32"/>
          <w:lang w:val="en-US" w:eastAsia="zh-CN"/>
        </w:rPr>
        <w:t>32.73</w:t>
      </w:r>
      <w:r>
        <w:rPr>
          <w:rFonts w:hint="eastAsia" w:ascii="仿宋_GB2312" w:hAnsi="仿宋_GB2312" w:eastAsia="仿宋_GB2312" w:cs="仿宋_GB2312"/>
          <w:sz w:val="32"/>
          <w:szCs w:val="32"/>
        </w:rPr>
        <w:t>%,主要是</w:t>
      </w:r>
      <w:r>
        <w:rPr>
          <w:rFonts w:hint="eastAsia" w:ascii="仿宋_GB2312" w:hAnsi="仿宋_GB2312" w:eastAsia="仿宋_GB2312" w:cs="仿宋_GB2312"/>
          <w:sz w:val="32"/>
          <w:szCs w:val="32"/>
          <w:lang w:eastAsia="zh-CN"/>
        </w:rPr>
        <w:t>单位厉行节约原则，严格控制支出</w:t>
      </w:r>
      <w:r>
        <w:rPr>
          <w:rFonts w:hint="eastAsia" w:ascii="仿宋_GB2312" w:hAnsi="仿宋_GB2312" w:eastAsia="仿宋_GB2312" w:cs="仿宋_GB2312"/>
          <w:sz w:val="32"/>
          <w:szCs w:val="32"/>
        </w:rPr>
        <w:t>；比2017年度决算</w:t>
      </w:r>
      <w:r>
        <w:rPr>
          <w:rFonts w:hint="eastAsia" w:ascii="仿宋_GB2312" w:hAnsi="仿宋_GB2312" w:eastAsia="仿宋_GB2312" w:cs="仿宋_GB2312"/>
          <w:sz w:val="32"/>
          <w:szCs w:val="32"/>
          <w:lang w:eastAsia="zh-CN"/>
        </w:rPr>
        <w:t>减少</w:t>
      </w:r>
      <w:r>
        <w:rPr>
          <w:rFonts w:hint="eastAsia" w:ascii="仿宋_GB2312" w:hAnsi="仿宋_GB2312" w:eastAsia="仿宋_GB2312" w:cs="仿宋_GB2312"/>
          <w:sz w:val="32"/>
          <w:szCs w:val="32"/>
          <w:lang w:val="en-US" w:eastAsia="zh-CN"/>
        </w:rPr>
        <w:t>2.23</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降低</w:t>
      </w:r>
      <w:r>
        <w:rPr>
          <w:rFonts w:hint="eastAsia" w:ascii="仿宋_GB2312" w:hAnsi="仿宋_GB2312" w:eastAsia="仿宋_GB2312" w:cs="仿宋_GB2312"/>
          <w:sz w:val="32"/>
          <w:szCs w:val="32"/>
          <w:lang w:val="en-US" w:eastAsia="zh-CN"/>
        </w:rPr>
        <w:t>18.82</w:t>
      </w:r>
      <w:r>
        <w:rPr>
          <w:rFonts w:hint="eastAsia" w:ascii="仿宋_GB2312" w:hAnsi="仿宋_GB2312" w:eastAsia="仿宋_GB2312" w:cs="仿宋_GB2312"/>
          <w:sz w:val="32"/>
          <w:szCs w:val="32"/>
        </w:rPr>
        <w:t>%，主要是</w:t>
      </w:r>
      <w:r>
        <w:rPr>
          <w:rFonts w:hint="eastAsia" w:ascii="仿宋_GB2312" w:hAnsi="仿宋_GB2312" w:eastAsia="仿宋_GB2312" w:cs="仿宋_GB2312"/>
          <w:sz w:val="32"/>
          <w:szCs w:val="32"/>
          <w:lang w:eastAsia="zh-CN"/>
        </w:rPr>
        <w:t>单位厉行节约原则，严格控制支出</w:t>
      </w:r>
      <w:r>
        <w:rPr>
          <w:rFonts w:hint="eastAsia" w:ascii="仿宋_GB2312" w:hAnsi="仿宋_GB2312" w:eastAsia="仿宋_GB2312" w:cs="仿宋_GB2312"/>
          <w:sz w:val="32"/>
          <w:szCs w:val="32"/>
        </w:rPr>
        <w:t>。</w:t>
      </w:r>
      <w:r>
        <w:rPr>
          <w:rFonts w:eastAsia="仿宋_GB2312"/>
          <w:b/>
          <w:bCs/>
          <w:sz w:val="32"/>
          <w:szCs w:val="32"/>
        </w:rPr>
        <w:t>其中：</w:t>
      </w:r>
    </w:p>
    <w:p>
      <w:pPr>
        <w:adjustRightInd w:val="0"/>
        <w:snapToGrid w:val="0"/>
        <w:spacing w:line="584" w:lineRule="exact"/>
        <w:ind w:firstLine="643" w:firstLineChars="200"/>
        <w:rPr>
          <w:rFonts w:hint="eastAsia" w:ascii="仿宋_GB2312" w:hAnsi="仿宋_GB2312" w:eastAsia="仿宋_GB2312" w:cs="仿宋_GB2312"/>
          <w:sz w:val="32"/>
          <w:szCs w:val="32"/>
          <w:highlight w:val="yellow"/>
          <w:lang w:val="en-US" w:eastAsia="zh-CN"/>
        </w:rPr>
      </w:pPr>
      <w:r>
        <w:rPr>
          <w:rFonts w:eastAsia="仿宋_GB2312"/>
          <w:b/>
          <w:sz w:val="32"/>
          <w:szCs w:val="32"/>
        </w:rPr>
        <w:t>公务用车购置费支出</w:t>
      </w:r>
      <w:r>
        <w:rPr>
          <w:rFonts w:hint="eastAsia" w:eastAsia="仿宋_GB2312"/>
          <w:b/>
          <w:sz w:val="32"/>
          <w:szCs w:val="32"/>
          <w:lang w:val="en-US" w:eastAsia="zh-CN"/>
        </w:rPr>
        <w:t>0</w:t>
      </w:r>
      <w:r>
        <w:rPr>
          <w:rFonts w:eastAsia="仿宋_GB2312"/>
          <w:b/>
          <w:sz w:val="32"/>
          <w:szCs w:val="32"/>
        </w:rPr>
        <w:t>万元。</w:t>
      </w:r>
      <w:r>
        <w:rPr>
          <w:rFonts w:hint="eastAsia" w:ascii="仿宋_GB2312" w:hAnsi="仿宋_GB2312" w:eastAsia="仿宋_GB2312" w:cs="仿宋_GB2312"/>
          <w:sz w:val="32"/>
          <w:szCs w:val="32"/>
        </w:rPr>
        <w:t>本部门2018年度公务用车购置数量</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w:t>
      </w:r>
      <w:r>
        <w:rPr>
          <w:rFonts w:hint="eastAsia" w:ascii="仿宋_GB2312" w:hAnsi="仿宋_GB2312" w:eastAsia="仿宋_GB2312" w:cs="仿宋_GB2312"/>
          <w:sz w:val="32"/>
          <w:szCs w:val="32"/>
          <w:lang w:eastAsia="zh-CN"/>
        </w:rPr>
        <w:t>，未发生</w:t>
      </w:r>
      <w:r>
        <w:rPr>
          <w:rFonts w:hint="eastAsia" w:ascii="仿宋_GB2312" w:hAnsi="仿宋_GB2312" w:eastAsia="仿宋_GB2312" w:cs="仿宋_GB2312"/>
          <w:sz w:val="32"/>
          <w:szCs w:val="32"/>
        </w:rPr>
        <w:t>公务用车购置</w:t>
      </w:r>
      <w:r>
        <w:rPr>
          <w:rFonts w:hint="eastAsia" w:ascii="仿宋_GB2312" w:hAnsi="仿宋_GB2312" w:eastAsia="仿宋_GB2312" w:cs="仿宋_GB2312"/>
          <w:sz w:val="32"/>
          <w:szCs w:val="32"/>
          <w:lang w:eastAsia="zh-CN"/>
        </w:rPr>
        <w:t>经</w:t>
      </w:r>
      <w:r>
        <w:rPr>
          <w:rFonts w:hint="eastAsia" w:ascii="仿宋_GB2312" w:hAnsi="仿宋_GB2312" w:eastAsia="仿宋_GB2312" w:cs="仿宋_GB2312"/>
          <w:sz w:val="32"/>
          <w:szCs w:val="32"/>
        </w:rPr>
        <w:t>费支出。</w:t>
      </w:r>
      <w:r>
        <w:rPr>
          <w:rFonts w:hint="eastAsia" w:ascii="仿宋_GB2312" w:hAnsi="仿宋_GB2312" w:eastAsia="仿宋_GB2312" w:cs="仿宋_GB2312"/>
          <w:sz w:val="32"/>
          <w:szCs w:val="32"/>
          <w:lang w:eastAsia="zh-CN"/>
        </w:rPr>
        <w:t>较年初预算无增减变化，较</w:t>
      </w:r>
      <w:r>
        <w:rPr>
          <w:rFonts w:hint="eastAsia" w:ascii="仿宋_GB2312" w:hAnsi="仿宋_GB2312" w:eastAsia="仿宋_GB2312" w:cs="仿宋_GB2312"/>
          <w:sz w:val="32"/>
          <w:szCs w:val="32"/>
          <w:lang w:val="en-US" w:eastAsia="zh-CN"/>
        </w:rPr>
        <w:t>2017年决算无增减变化。</w:t>
      </w:r>
    </w:p>
    <w:p>
      <w:pPr>
        <w:adjustRightInd w:val="0"/>
        <w:snapToGrid w:val="0"/>
        <w:spacing w:line="584" w:lineRule="exact"/>
        <w:ind w:firstLine="643" w:firstLineChars="200"/>
        <w:rPr>
          <w:rFonts w:hint="eastAsia" w:ascii="仿宋_GB2312" w:hAnsi="仿宋_GB2312" w:eastAsia="仿宋_GB2312" w:cs="仿宋_GB2312"/>
          <w:sz w:val="32"/>
          <w:szCs w:val="32"/>
          <w:highlight w:val="yellow"/>
        </w:rPr>
      </w:pPr>
      <w:r>
        <w:rPr>
          <w:rFonts w:eastAsia="仿宋_GB2312"/>
          <w:b/>
          <w:sz w:val="32"/>
          <w:szCs w:val="32"/>
        </w:rPr>
        <w:t>公务用车运行维护费支出</w:t>
      </w:r>
      <w:r>
        <w:rPr>
          <w:rFonts w:hint="eastAsia" w:eastAsia="仿宋_GB2312"/>
          <w:b/>
          <w:sz w:val="32"/>
          <w:szCs w:val="32"/>
          <w:lang w:val="en-US" w:eastAsia="zh-CN"/>
        </w:rPr>
        <w:t>9.62</w:t>
      </w:r>
      <w:r>
        <w:rPr>
          <w:rFonts w:eastAsia="仿宋_GB2312"/>
          <w:b/>
          <w:sz w:val="32"/>
          <w:szCs w:val="32"/>
        </w:rPr>
        <w:t>万元。</w:t>
      </w:r>
      <w:r>
        <w:rPr>
          <w:rFonts w:hint="eastAsia" w:ascii="仿宋_GB2312" w:hAnsi="仿宋_GB2312" w:eastAsia="仿宋_GB2312" w:cs="仿宋_GB2312"/>
          <w:sz w:val="32"/>
          <w:szCs w:val="32"/>
        </w:rPr>
        <w:t>本部门2018年末单位公务用车保有量</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辆。公车运行维护费支出比年初预算减少</w:t>
      </w:r>
      <w:r>
        <w:rPr>
          <w:rFonts w:hint="eastAsia" w:ascii="仿宋_GB2312" w:hAnsi="仿宋_GB2312" w:eastAsia="仿宋_GB2312" w:cs="仿宋_GB2312"/>
          <w:sz w:val="32"/>
          <w:szCs w:val="32"/>
          <w:lang w:val="en-US" w:eastAsia="zh-CN"/>
        </w:rPr>
        <w:t>4.68</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降低</w:t>
      </w:r>
      <w:r>
        <w:rPr>
          <w:rFonts w:hint="eastAsia" w:ascii="仿宋_GB2312" w:hAnsi="仿宋_GB2312" w:eastAsia="仿宋_GB2312" w:cs="仿宋_GB2312"/>
          <w:sz w:val="32"/>
          <w:szCs w:val="32"/>
          <w:lang w:val="en-US" w:eastAsia="zh-CN"/>
        </w:rPr>
        <w:t>32.73</w:t>
      </w:r>
      <w:r>
        <w:rPr>
          <w:rFonts w:hint="eastAsia" w:ascii="仿宋_GB2312" w:hAnsi="仿宋_GB2312" w:eastAsia="仿宋_GB2312" w:cs="仿宋_GB2312"/>
          <w:sz w:val="32"/>
          <w:szCs w:val="32"/>
        </w:rPr>
        <w:t>%，主要是</w:t>
      </w:r>
      <w:r>
        <w:rPr>
          <w:rFonts w:hint="eastAsia" w:ascii="仿宋_GB2312" w:hAnsi="仿宋_GB2312" w:eastAsia="仿宋_GB2312" w:cs="仿宋_GB2312"/>
          <w:sz w:val="32"/>
          <w:szCs w:val="32"/>
          <w:lang w:eastAsia="zh-CN"/>
        </w:rPr>
        <w:t>单位厉行节约原则，严格控制支出</w:t>
      </w:r>
      <w:r>
        <w:rPr>
          <w:rFonts w:hint="eastAsia" w:ascii="仿宋_GB2312" w:hAnsi="仿宋_GB2312" w:eastAsia="仿宋_GB2312" w:cs="仿宋_GB2312"/>
          <w:sz w:val="32"/>
          <w:szCs w:val="32"/>
        </w:rPr>
        <w:t>；比2017年度决算</w:t>
      </w:r>
      <w:r>
        <w:rPr>
          <w:rFonts w:hint="eastAsia" w:ascii="仿宋_GB2312" w:hAnsi="仿宋_GB2312" w:eastAsia="仿宋_GB2312" w:cs="仿宋_GB2312"/>
          <w:sz w:val="32"/>
          <w:szCs w:val="32"/>
          <w:lang w:eastAsia="zh-CN"/>
        </w:rPr>
        <w:t>减少</w:t>
      </w:r>
      <w:r>
        <w:rPr>
          <w:rFonts w:hint="eastAsia" w:ascii="仿宋_GB2312" w:hAnsi="仿宋_GB2312" w:eastAsia="仿宋_GB2312" w:cs="仿宋_GB2312"/>
          <w:sz w:val="32"/>
          <w:szCs w:val="32"/>
          <w:lang w:val="en-US" w:eastAsia="zh-CN"/>
        </w:rPr>
        <w:t>2.23</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降低</w:t>
      </w:r>
      <w:r>
        <w:rPr>
          <w:rFonts w:hint="eastAsia" w:ascii="仿宋_GB2312" w:hAnsi="仿宋_GB2312" w:eastAsia="仿宋_GB2312" w:cs="仿宋_GB2312"/>
          <w:sz w:val="32"/>
          <w:szCs w:val="32"/>
          <w:lang w:val="en-US" w:eastAsia="zh-CN"/>
        </w:rPr>
        <w:t>18.82</w:t>
      </w:r>
      <w:r>
        <w:rPr>
          <w:rFonts w:hint="eastAsia" w:ascii="仿宋_GB2312" w:hAnsi="仿宋_GB2312" w:eastAsia="仿宋_GB2312" w:cs="仿宋_GB2312"/>
          <w:sz w:val="32"/>
          <w:szCs w:val="32"/>
        </w:rPr>
        <w:t>%，主要是</w:t>
      </w:r>
      <w:r>
        <w:rPr>
          <w:rFonts w:hint="eastAsia" w:ascii="仿宋_GB2312" w:hAnsi="仿宋_GB2312" w:eastAsia="仿宋_GB2312" w:cs="仿宋_GB2312"/>
          <w:sz w:val="32"/>
          <w:szCs w:val="32"/>
          <w:lang w:eastAsia="zh-CN"/>
        </w:rPr>
        <w:t>单位厉行节约原则，严格控制支出</w:t>
      </w:r>
      <w:r>
        <w:rPr>
          <w:rFonts w:hint="eastAsia" w:ascii="仿宋_GB2312" w:hAnsi="仿宋_GB2312" w:eastAsia="仿宋_GB2312" w:cs="仿宋_GB2312"/>
          <w:sz w:val="32"/>
          <w:szCs w:val="32"/>
        </w:rPr>
        <w:t>。</w:t>
      </w:r>
    </w:p>
    <w:p>
      <w:pPr>
        <w:adjustRightInd w:val="0"/>
        <w:snapToGrid w:val="0"/>
        <w:spacing w:line="584" w:lineRule="exact"/>
        <w:ind w:firstLine="643" w:firstLineChars="200"/>
        <w:rPr>
          <w:rFonts w:hint="eastAsia" w:ascii="仿宋_GB2312" w:hAnsi="仿宋_GB2312" w:eastAsia="仿宋_GB2312" w:cs="仿宋_GB2312"/>
          <w:sz w:val="32"/>
          <w:szCs w:val="32"/>
          <w:highlight w:val="yellow"/>
        </w:rPr>
      </w:pPr>
      <w:r>
        <w:rPr>
          <w:rFonts w:eastAsia="楷体_GB2312"/>
          <w:b/>
          <w:bCs/>
          <w:sz w:val="32"/>
          <w:szCs w:val="32"/>
        </w:rPr>
        <w:t>（三）公务接待费支出</w:t>
      </w:r>
      <w:r>
        <w:rPr>
          <w:rFonts w:hint="eastAsia" w:eastAsia="楷体_GB2312"/>
          <w:b/>
          <w:bCs/>
          <w:sz w:val="32"/>
          <w:szCs w:val="32"/>
          <w:lang w:val="en-US" w:eastAsia="zh-CN"/>
        </w:rPr>
        <w:t>0.9</w:t>
      </w:r>
      <w:r>
        <w:rPr>
          <w:rFonts w:eastAsia="楷体_GB2312"/>
          <w:b/>
          <w:bCs/>
          <w:sz w:val="32"/>
          <w:szCs w:val="32"/>
        </w:rPr>
        <w:t>万元。</w:t>
      </w:r>
      <w:r>
        <w:rPr>
          <w:rFonts w:hint="eastAsia" w:ascii="仿宋_GB2312" w:hAnsi="仿宋_GB2312" w:eastAsia="仿宋_GB2312" w:cs="仿宋_GB2312"/>
          <w:sz w:val="32"/>
          <w:szCs w:val="32"/>
        </w:rPr>
        <w:t>本部门2018年度公务接待共</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批次、</w:t>
      </w:r>
      <w:r>
        <w:rPr>
          <w:rFonts w:hint="eastAsia" w:ascii="仿宋_GB2312" w:hAnsi="仿宋_GB2312" w:eastAsia="仿宋_GB2312" w:cs="仿宋_GB2312"/>
          <w:sz w:val="32"/>
          <w:szCs w:val="32"/>
          <w:lang w:val="en-US" w:eastAsia="zh-CN"/>
        </w:rPr>
        <w:t>180</w:t>
      </w:r>
      <w:r>
        <w:rPr>
          <w:rFonts w:hint="eastAsia" w:ascii="仿宋_GB2312" w:hAnsi="仿宋_GB2312" w:eastAsia="仿宋_GB2312" w:cs="仿宋_GB2312"/>
          <w:sz w:val="32"/>
          <w:szCs w:val="32"/>
        </w:rPr>
        <w:t>人次。公务接待费支出比年初预算减少</w:t>
      </w:r>
      <w:r>
        <w:rPr>
          <w:rFonts w:hint="eastAsia" w:ascii="仿宋_GB2312" w:hAnsi="仿宋_GB2312" w:eastAsia="仿宋_GB2312" w:cs="仿宋_GB2312"/>
          <w:sz w:val="32"/>
          <w:szCs w:val="32"/>
          <w:lang w:val="en-US" w:eastAsia="zh-CN"/>
        </w:rPr>
        <w:t>0.78</w:t>
      </w:r>
      <w:r>
        <w:rPr>
          <w:rFonts w:hint="eastAsia" w:ascii="仿宋_GB2312" w:hAnsi="仿宋_GB2312" w:eastAsia="仿宋_GB2312" w:cs="仿宋_GB2312"/>
          <w:sz w:val="32"/>
          <w:szCs w:val="32"/>
        </w:rPr>
        <w:t>万元，降低</w:t>
      </w:r>
      <w:r>
        <w:rPr>
          <w:rFonts w:hint="eastAsia" w:ascii="仿宋_GB2312" w:hAnsi="仿宋_GB2312" w:eastAsia="仿宋_GB2312" w:cs="仿宋_GB2312"/>
          <w:sz w:val="32"/>
          <w:szCs w:val="32"/>
          <w:lang w:val="en-US" w:eastAsia="zh-CN"/>
        </w:rPr>
        <w:t>46.43</w:t>
      </w:r>
      <w:r>
        <w:rPr>
          <w:rFonts w:hint="eastAsia" w:ascii="仿宋_GB2312" w:hAnsi="仿宋_GB2312" w:eastAsia="仿宋_GB2312" w:cs="仿宋_GB2312"/>
          <w:sz w:val="32"/>
          <w:szCs w:val="32"/>
        </w:rPr>
        <w:t>%，主要是</w:t>
      </w:r>
      <w:r>
        <w:rPr>
          <w:rFonts w:hint="eastAsia" w:ascii="仿宋_GB2312" w:hAnsi="仿宋_GB2312" w:eastAsia="仿宋_GB2312" w:cs="仿宋_GB2312"/>
          <w:sz w:val="32"/>
          <w:szCs w:val="32"/>
          <w:lang w:eastAsia="zh-CN"/>
        </w:rPr>
        <w:t>单位厉行节约原则，严格控制支出</w:t>
      </w:r>
      <w:r>
        <w:rPr>
          <w:rFonts w:hint="eastAsia" w:ascii="仿宋_GB2312" w:hAnsi="仿宋_GB2312" w:eastAsia="仿宋_GB2312" w:cs="仿宋_GB2312"/>
          <w:sz w:val="32"/>
          <w:szCs w:val="32"/>
        </w:rPr>
        <w:t>；比2017年度决算减少</w:t>
      </w:r>
      <w:r>
        <w:rPr>
          <w:rFonts w:hint="eastAsia" w:ascii="仿宋_GB2312" w:hAnsi="仿宋_GB2312" w:eastAsia="仿宋_GB2312" w:cs="仿宋_GB2312"/>
          <w:sz w:val="32"/>
          <w:szCs w:val="32"/>
          <w:lang w:val="en-US" w:eastAsia="zh-CN"/>
        </w:rPr>
        <w:t>0.47</w:t>
      </w:r>
      <w:r>
        <w:rPr>
          <w:rFonts w:hint="eastAsia" w:ascii="仿宋_GB2312" w:hAnsi="仿宋_GB2312" w:eastAsia="仿宋_GB2312" w:cs="仿宋_GB2312"/>
          <w:sz w:val="32"/>
          <w:szCs w:val="32"/>
        </w:rPr>
        <w:t>万元，降低</w:t>
      </w:r>
      <w:r>
        <w:rPr>
          <w:rFonts w:hint="eastAsia" w:ascii="仿宋_GB2312" w:hAnsi="仿宋_GB2312" w:eastAsia="仿宋_GB2312" w:cs="仿宋_GB2312"/>
          <w:sz w:val="32"/>
          <w:szCs w:val="32"/>
          <w:lang w:val="en-US" w:eastAsia="zh-CN"/>
        </w:rPr>
        <w:t>34.31</w:t>
      </w:r>
      <w:r>
        <w:rPr>
          <w:rFonts w:hint="eastAsia" w:ascii="仿宋_GB2312" w:hAnsi="仿宋_GB2312" w:eastAsia="仿宋_GB2312" w:cs="仿宋_GB2312"/>
          <w:sz w:val="32"/>
          <w:szCs w:val="32"/>
        </w:rPr>
        <w:t>%，主要是</w:t>
      </w:r>
      <w:r>
        <w:rPr>
          <w:rFonts w:hint="eastAsia" w:ascii="仿宋_GB2312" w:hAnsi="仿宋_GB2312" w:eastAsia="仿宋_GB2312" w:cs="仿宋_GB2312"/>
          <w:sz w:val="32"/>
          <w:szCs w:val="32"/>
          <w:lang w:eastAsia="zh-CN"/>
        </w:rPr>
        <w:t>单位厉行节约原则，严格控制支出</w:t>
      </w:r>
      <w:r>
        <w:rPr>
          <w:rFonts w:hint="eastAsia" w:ascii="仿宋_GB2312" w:hAnsi="仿宋_GB2312" w:eastAsia="仿宋_GB2312" w:cs="仿宋_GB2312"/>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eastAsia="仿宋_GB2312" w:cs="DengXian-Regular"/>
          <w:sz w:val="32"/>
          <w:szCs w:val="32"/>
        </w:rPr>
      </w:pPr>
      <w:r>
        <w:rPr>
          <w:rFonts w:hint="eastAsia" w:ascii="仿宋_GB2312" w:eastAsia="仿宋_GB2312" w:cs="DengXian-Regular"/>
          <w:sz w:val="32"/>
          <w:szCs w:val="32"/>
        </w:rPr>
        <w:t>（一）预算绩效管理工作开展情况。</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按照《中华人民共和国预算法》规定及《大厂回族自治县财政局关于印发深化绩效预算管理改革实施方案的通知》（〔2015〕29号）工作的相关要求，我部门积极部署推进预算绩效管理工作。具体开展情况如下：  2018年度，大厂回族自治县人力资源和社会保障局以绩效目标实现为导向，进一步加强制度建设，提升自评质量，力争预算绩效管理取得新成效。</w:t>
      </w:r>
    </w:p>
    <w:p>
      <w:pPr>
        <w:numPr>
          <w:ilvl w:val="0"/>
          <w:numId w:val="0"/>
        </w:numPr>
        <w:adjustRightInd w:val="0"/>
        <w:snapToGrid w:val="0"/>
        <w:spacing w:after="0" w:line="58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（二）</w:t>
      </w:r>
      <w:r>
        <w:rPr>
          <w:rFonts w:hint="eastAsia" w:ascii="仿宋_GB2312" w:eastAsia="仿宋_GB2312" w:cs="DengXian-Regular"/>
          <w:sz w:val="32"/>
          <w:szCs w:val="32"/>
          <w:lang w:val="en-US" w:eastAsia="zh-CN"/>
        </w:rPr>
        <w:t>我单位通过自评，项目绩效达标，与项目承担的业务内容相符，指标设定合理，评价依据充分，能够提交可供评价的材料，实现对项目的绩效进行量化管理。结果为优秀。</w:t>
      </w:r>
      <w:r>
        <w:rPr>
          <w:rFonts w:hint="eastAsia" w:ascii="仿宋_GB2312" w:hAnsi="仿宋_GB2312" w:eastAsia="仿宋_GB2312" w:cs="仿宋_GB2312"/>
          <w:kern w:val="2"/>
          <w:sz w:val="32"/>
          <w:szCs w:val="32"/>
          <w:lang w:val="en-US" w:eastAsia="zh-CN" w:bidi="ar-SA"/>
        </w:rPr>
        <w:t>一是抓好绩效目标编制，及时报送绩效目标。二是探索绩效跟踪监控，要求加强过程监控。三是深入开展财政支出绩效评价，对专项资金实施绩效自评和项目核查，在此基础上形成自评报告。四是强化评价结果应用，组织绩效自评和绩效跟踪监控，对发现的问题及时改进，加强评价结果与项目资金安排的衔接。五是健全绩效管理工作机制，明确职责分工，努力提高绩效管理工作水平。绩效自评覆盖率达到100%。</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（三）重点项目绩效评价结果。</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1、基本情况</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2018年度中央下达就业补助资金专项转移支付预算金额429万元（冀财社【2018】92号）。</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绩效目标：</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（1）资金按规定用于职业培训补贴、社会保险补贴、公益性岗位补贴、就业见习补贴、求职创业补贴、就业创业服务补贴等支出以及经省级人民政府批准的其他支出项目。</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（2）保持就业局势总体稳定，确保新增就业规模、城镇登记失业率等核心指标保持稳定。</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（3）会同有关部门落实、完善各项就业创业政策，确保政策享受对象及时得到补贴资金扶持。</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河北省分解下达就业补助资金专项预算金额为119万元，县内配套预算资金为140万元。</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2、绩效自评工作开展情况</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前期准备：根据中央、省市极地方财政关于专项资金使用的相关要求，召开我局财务工作会议，成立了以局长兼党组书记白占冬同志为组长，党组成员、副局长刘民同志为副组长，办公室、财务室为成员的领导小组和工作机构，明确各级职责。组织相关人员认真学习了有关政策文件及相关专项资金绩效目标、专项资金及项目管理办法；中央、省、市相关政策规定和财务会计制度；部门预算及决算报告、项目审计报告和验收报告等。最后由办公室、财务室联合设计评价指标，确定评价方法及评价标准值。</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组织过程：严格按照中央、省、市有关文件要求，通过审查账目、实地考察验证、座谈交流等方式，认真对照2018年再就业补助专项资金绩效评价指标体系，对项目前期工作进行了全方位自查和自评打分，最后上报局领导小组办公室进行汇总，再报送县财政局。通过绩效自评，进一步规范财政资金规划管理，强化部门责任意识，提高财政资金使用效益。</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分析评价：再就业补助资金项目前期编制经费的资金管理和使用，严格执行“收支两条线”管理，按照预算资金管理办法，坚持“量入为出和专款专用”原则，主要用于职业培训补贴、社会保险补贴、公益性岗位补贴、就业见习补贴、求职创业补贴、就业创业服务补贴等支出以及经省级人民政府批准的其他支出项目。县财政部门根据项目进度，及时拨付专项资金，达到资金设立目的，产生了极大的社会效益。</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3、综合评价结论</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在资金使用方面，严格制定和执行了财务管理核算制度，资金使用规范，相关资料齐全，成本控制有效，无挪用、截留经费的情况发生。在项目管理方面，建立了相关制度，提高了工作人员的监管水平，保质保量的完成了项目的实施工作。项目实施后，确保政策享受对象及时得到补贴资金扶持,保持就业局势总体稳定，确保新增就业规模、城镇登记失业率等核心指标稳定。</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4、绩效目标实现情况分析</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（1）项目资金情况分析</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项目资金到位情况分析：2018年，中央财政安排再就业补助资金经费342万元，省级财政安排再就业补助资金119万元，我县配套安排此项资金140万元，共计601万元，资金到位率100%。</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项目资金执行情况分析：资金按规定用于职业培训补贴、社会保险补贴、公益性岗位补贴、就业见习补贴、求职创业补贴、就业创业服务补贴等支出以及经省级人民政府批准的其他支出项目。</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项目资金管理情况分析：</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财务管理制度健全。按照中央、省、市要求和财政专项资金管理办法，我局成立了专项资金管理领导小组，由分管财务的党组成员、副局长刘民任组长，分管重点项目和规划编制的领导任副组长，有关人员任成员。严格遵循专款专用、独立核算的管理原则。专项项目的申报严格按照市财政资金管理的要求进行，专项资金财政拨款到位后及时进行了项目开展和资金投入。我单位目前对专项资金的管理按照项目支出涉及的经济科目规定，根据财务管理办法的相关制度执行，专项资金使用情况及时以局公开栏形式公开，有力保证了项目资金的实施。</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资金拨付审批手续完整。业务科室制定项目工作计划，按程序报相关领导审批。各项资金全部实现国库集中支付、专款专用，不存在支出依据不合规、虚列项目支出、截留、挤占、挪用和超标准支出等现象，使项目资金的运用得到了合理的控制，项目得到了切实的保障。</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会计信息质量真实。严格执行《中华人民共和国</w:t>
      </w:r>
      <w:bookmarkStart w:id="0" w:name="_GoBack"/>
      <w:bookmarkEnd w:id="0"/>
      <w:r>
        <w:rPr>
          <w:rFonts w:hint="eastAsia" w:ascii="Times New Roman" w:hAnsi="Times New Roman" w:eastAsia="仿宋_GB2312" w:cs="Times New Roman"/>
          <w:kern w:val="2"/>
          <w:sz w:val="32"/>
          <w:szCs w:val="32"/>
          <w:lang w:val="en-US" w:eastAsia="zh-CN" w:bidi="ar-SA"/>
        </w:rPr>
        <w:t>会计法》等财经法规，严格按照相关会计制度办理会计业务，进行会计核算，并做好会计记录，真实的反映项目资金管理情况，并接受上级财政、审批部门及主管部门的检查、监督。</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（1）项目绩效指标完成情况分析</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产出指标完成情况分析：</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项目完成质量：</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职业培训补贴发放准确率为100%，接受职业培训后取得职业资格证书（或专项职业能力证书、培训合格证书）人员的比率大于80%，社会保险补贴发放准确率、公益性岗位补贴发放准确率、就业见习补贴发放准确率、求职创业补贴发放准确率均为100%。</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项目实施进度：</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再就业补助资金专项中公益性岗位补贴每月按时足额发放，其他各项均以申请时间为准，大多在下半年度一次性发放到位。</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项目成本节约情况：</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再就业补助资金专项按享受人员的实际金额进行分类发放，未出现超范围使用此项资金的情况。</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5、绩效目标未完成原因和下一步改进措施</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我部门就业补助资金专项已完成本年度计划。</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绩效自评结果拟应用和公开情况</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大厂回族自治县人力资源和社会保障局2018年度再就业补助资金绩效自评综合得分为100分,优秀。</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6、绩效自评工作的经验、问题和建议</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我局建立了专项资金管理办法，严格遵循专款专用、独立核算的管理原则。专项项目的申报严格按照财政资金管理的要求进行，专项资金财政拨款到位后及时进行了项目开展和资金投入。我单位目前对专项资金的管理按照项目支出涉及的经济科目规定，根据财务管理办法的相关制度执行。</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在就业补助资金专款专用，收入支出清晰明了，目前未出现问题。</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Times New Roman" w:hAnsi="Times New Roman" w:eastAsia="仿宋_GB2312" w:cs="Times New Roman"/>
          <w:kern w:val="2"/>
          <w:sz w:val="32"/>
          <w:szCs w:val="32"/>
          <w:lang w:val="en-US" w:eastAsia="zh-CN" w:bidi="ar-SA"/>
        </w:rPr>
      </w:pPr>
      <w:r>
        <w:rPr>
          <w:rFonts w:hint="eastAsia" w:ascii="仿宋_GB2312" w:hAnsi="仿宋_GB2312" w:eastAsia="仿宋_GB2312" w:cs="仿宋_GB2312"/>
          <w:kern w:val="2"/>
          <w:sz w:val="32"/>
          <w:szCs w:val="32"/>
          <w:lang w:val="en-US" w:eastAsia="zh-CN" w:bidi="ar-SA"/>
        </w:rPr>
        <w:t>建议继续加强财务规范管理，提高财务管理人员业务素质，应经常组织财务管理人员岗位培训，学习与财务工作相关的知识，扩大知识面、拓宽视野、开阔思路，在业务上不断提高。</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7、其他需说明的问题</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我部门就业补助资金专项无其他需要说明的问题。</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七、其他重要事项的说明</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（一）机关运行经费情况</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部门2018年度机关运行经费支出203.92万元，比年初预算数减少47.3万元，降低18.83%。主要是单位厉行节约，严格控制各项经费支出。较2017年度决算增加64.8万元，增长（降低）46.58%，主要是本年度业务增加及劳务派遣人员增加导致经费支出增加。</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（二）政府采购情况</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本部门2018年度政府采购支出总额211.98万元，从采购类型来看，均为政府采购服务，支出 211.98万元。中小企业合同金211.98万元，占政府采购支出总额的100%。小微企业1万元，占政府采购支出总额的0%。</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（三）国有资产占用情况</w:t>
      </w:r>
    </w:p>
    <w:p>
      <w:pPr>
        <w:pStyle w:val="11"/>
        <w:keepNext w:val="0"/>
        <w:keepLines w:val="0"/>
        <w:pageBreakBefore w:val="0"/>
        <w:kinsoku/>
        <w:wordWrap/>
        <w:overflowPunct/>
        <w:topLinePunct w:val="0"/>
        <w:autoSpaceDE/>
        <w:autoSpaceDN/>
        <w:bidi w:val="0"/>
        <w:adjustRightInd/>
        <w:snapToGrid/>
        <w:spacing w:beforeAutospacing="0" w:afterAutospacing="0" w:line="600" w:lineRule="exact"/>
        <w:ind w:firstLine="640" w:firstLineChars="200"/>
        <w:textAlignment w:val="auto"/>
        <w:outlineLvl w:val="9"/>
        <w:rPr>
          <w:rFonts w:hint="eastAsia" w:ascii="仿宋_GB2312" w:eastAsia="仿宋_GB2312" w:cs="DengXian-Regular"/>
          <w:sz w:val="32"/>
          <w:szCs w:val="32"/>
        </w:rPr>
      </w:pPr>
      <w:r>
        <w:rPr>
          <w:rFonts w:hint="eastAsia" w:ascii="仿宋_GB2312" w:hAnsi="仿宋_GB2312" w:eastAsia="仿宋_GB2312" w:cs="仿宋_GB2312"/>
          <w:kern w:val="2"/>
          <w:sz w:val="32"/>
          <w:szCs w:val="32"/>
          <w:lang w:val="en-US" w:eastAsia="zh-CN" w:bidi="ar-SA"/>
        </w:rPr>
        <w:t>截至2018年12月31日，本部门共有车辆4辆，均为机要通信用车，价值为68.08万元。比上年减少1辆，主要是因车辆购置时间过久导致无法使用进行报废处理。单位价值50万元以上通用设备0台，较上年无变化，</w:t>
      </w:r>
      <w:r>
        <w:rPr>
          <w:rFonts w:hint="eastAsia" w:ascii="仿宋_GB2312" w:hAnsi="仿宋_GB2312" w:eastAsia="仿宋_GB2312" w:cs="仿宋_GB2312"/>
          <w:sz w:val="32"/>
          <w:szCs w:val="32"/>
        </w:rPr>
        <w:t>单位价值100万元以上专用设备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w:t>
      </w:r>
      <w:r>
        <w:rPr>
          <w:rFonts w:hint="eastAsia" w:ascii="仿宋_GB2312" w:hAnsi="仿宋_GB2312" w:eastAsia="仿宋_GB2312" w:cs="仿宋_GB2312"/>
          <w:sz w:val="32"/>
          <w:szCs w:val="32"/>
          <w:lang w:eastAsia="zh-CN"/>
        </w:rPr>
        <w:t>，较</w:t>
      </w:r>
      <w:r>
        <w:rPr>
          <w:rFonts w:hint="eastAsia" w:ascii="仿宋_GB2312" w:hAnsi="仿宋_GB2312" w:eastAsia="仿宋_GB2312" w:cs="仿宋_GB2312"/>
          <w:sz w:val="32"/>
          <w:szCs w:val="32"/>
        </w:rPr>
        <w:t>上年</w:t>
      </w:r>
      <w:r>
        <w:rPr>
          <w:rFonts w:hint="eastAsia" w:ascii="仿宋_GB2312" w:hAnsi="仿宋_GB2312" w:eastAsia="仿宋_GB2312" w:cs="仿宋_GB2312"/>
          <w:sz w:val="32"/>
          <w:szCs w:val="32"/>
          <w:lang w:eastAsia="zh-CN"/>
        </w:rPr>
        <w:t>无变化</w:t>
      </w:r>
      <w:r>
        <w:rPr>
          <w:rFonts w:hint="eastAsia" w:ascii="仿宋_GB2312" w:hAnsi="仿宋_GB2312" w:eastAsia="仿宋_GB2312" w:cs="仿宋_GB2312"/>
          <w:sz w:val="32"/>
          <w:szCs w:val="32"/>
        </w:rPr>
        <w:t>。</w:t>
      </w:r>
    </w:p>
    <w:tbl>
      <w:tblPr>
        <w:tblStyle w:val="13"/>
        <w:tblpPr w:leftFromText="180" w:rightFromText="180" w:vertAnchor="page" w:horzAnchor="page" w:tblpX="1830" w:tblpY="5209"/>
        <w:tblOverlap w:val="never"/>
        <w:tblW w:w="8399" w:type="dxa"/>
        <w:tblInd w:w="0" w:type="dxa"/>
        <w:tblLayout w:type="fixed"/>
        <w:tblCellMar>
          <w:top w:w="0" w:type="dxa"/>
          <w:left w:w="108" w:type="dxa"/>
          <w:bottom w:w="0" w:type="dxa"/>
          <w:right w:w="108" w:type="dxa"/>
        </w:tblCellMar>
      </w:tblPr>
      <w:tblGrid>
        <w:gridCol w:w="2989"/>
        <w:gridCol w:w="2169"/>
        <w:gridCol w:w="3241"/>
      </w:tblGrid>
      <w:tr>
        <w:tblPrEx>
          <w:tblCellMar>
            <w:top w:w="0" w:type="dxa"/>
            <w:left w:w="108" w:type="dxa"/>
            <w:bottom w:w="0" w:type="dxa"/>
            <w:right w:w="108" w:type="dxa"/>
          </w:tblCellMar>
        </w:tblPrEx>
        <w:trPr>
          <w:trHeight w:val="731" w:hRule="atLeast"/>
        </w:trPr>
        <w:tc>
          <w:tcPr>
            <w:tcW w:w="298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bCs/>
                <w:kern w:val="0"/>
                <w:sz w:val="22"/>
              </w:rPr>
            </w:pPr>
            <w:r>
              <w:rPr>
                <w:rFonts w:hint="eastAsia" w:ascii="仿宋" w:hAnsi="仿宋" w:eastAsia="仿宋" w:cs="仿宋"/>
                <w:bCs/>
                <w:kern w:val="0"/>
                <w:sz w:val="22"/>
              </w:rPr>
              <w:t>项   目</w:t>
            </w:r>
          </w:p>
        </w:tc>
        <w:tc>
          <w:tcPr>
            <w:tcW w:w="2169"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bCs/>
                <w:kern w:val="0"/>
                <w:sz w:val="22"/>
              </w:rPr>
            </w:pPr>
            <w:r>
              <w:rPr>
                <w:rFonts w:hint="eastAsia" w:ascii="仿宋" w:hAnsi="仿宋" w:eastAsia="仿宋" w:cs="仿宋"/>
                <w:bCs/>
                <w:kern w:val="0"/>
                <w:sz w:val="22"/>
              </w:rPr>
              <w:t>数量</w:t>
            </w:r>
          </w:p>
        </w:tc>
        <w:tc>
          <w:tcPr>
            <w:tcW w:w="3241"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bCs/>
                <w:kern w:val="0"/>
                <w:sz w:val="22"/>
              </w:rPr>
            </w:pPr>
            <w:r>
              <w:rPr>
                <w:rFonts w:hint="eastAsia" w:ascii="仿宋" w:hAnsi="仿宋" w:eastAsia="仿宋" w:cs="仿宋"/>
                <w:bCs/>
                <w:kern w:val="0"/>
                <w:sz w:val="22"/>
              </w:rPr>
              <w:t>价值（金额单位：万元）</w:t>
            </w:r>
          </w:p>
        </w:tc>
      </w:tr>
      <w:tr>
        <w:tblPrEx>
          <w:tblCellMar>
            <w:top w:w="0" w:type="dxa"/>
            <w:left w:w="108" w:type="dxa"/>
            <w:bottom w:w="0" w:type="dxa"/>
            <w:right w:w="108" w:type="dxa"/>
          </w:tblCellMar>
        </w:tblPrEx>
        <w:trPr>
          <w:trHeight w:val="731" w:hRule="atLeast"/>
        </w:trPr>
        <w:tc>
          <w:tcPr>
            <w:tcW w:w="2989"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rPr>
            </w:pPr>
            <w:r>
              <w:rPr>
                <w:rFonts w:hint="eastAsia" w:ascii="仿宋" w:hAnsi="仿宋" w:eastAsia="仿宋" w:cs="仿宋"/>
                <w:kern w:val="0"/>
                <w:sz w:val="22"/>
              </w:rPr>
              <w:t>资产总额</w:t>
            </w:r>
          </w:p>
        </w:tc>
        <w:tc>
          <w:tcPr>
            <w:tcW w:w="2169" w:type="dxa"/>
            <w:tcBorders>
              <w:top w:val="nil"/>
              <w:left w:val="nil"/>
              <w:bottom w:val="single" w:color="auto" w:sz="4" w:space="0"/>
              <w:right w:val="single" w:color="auto" w:sz="4" w:space="0"/>
            </w:tcBorders>
            <w:noWrap w:val="0"/>
            <w:vAlign w:val="center"/>
          </w:tcPr>
          <w:p>
            <w:pPr>
              <w:widowControl/>
              <w:jc w:val="center"/>
              <w:rPr>
                <w:rFonts w:hint="default" w:ascii="仿宋" w:hAnsi="仿宋" w:eastAsia="仿宋" w:cs="仿宋"/>
                <w:kern w:val="0"/>
                <w:sz w:val="22"/>
                <w:lang w:val="en-US" w:eastAsia="zh-CN"/>
              </w:rPr>
            </w:pPr>
            <w:r>
              <w:rPr>
                <w:rFonts w:hint="eastAsia" w:ascii="仿宋" w:hAnsi="仿宋" w:eastAsia="仿宋" w:cs="仿宋"/>
                <w:kern w:val="0"/>
                <w:sz w:val="22"/>
                <w:lang w:val="en-US" w:eastAsia="zh-CN"/>
              </w:rPr>
              <w:t>2001</w:t>
            </w:r>
          </w:p>
        </w:tc>
        <w:tc>
          <w:tcPr>
            <w:tcW w:w="3241" w:type="dxa"/>
            <w:tcBorders>
              <w:top w:val="nil"/>
              <w:left w:val="nil"/>
              <w:bottom w:val="single" w:color="auto" w:sz="4" w:space="0"/>
              <w:right w:val="single" w:color="auto" w:sz="4" w:space="0"/>
            </w:tcBorders>
            <w:noWrap w:val="0"/>
            <w:vAlign w:val="center"/>
          </w:tcPr>
          <w:p>
            <w:pPr>
              <w:widowControl/>
              <w:jc w:val="center"/>
              <w:rPr>
                <w:rFonts w:hint="default" w:ascii="仿宋" w:hAnsi="仿宋" w:eastAsia="仿宋" w:cs="仿宋"/>
                <w:kern w:val="0"/>
                <w:sz w:val="22"/>
                <w:lang w:val="en-US" w:eastAsia="zh-CN"/>
              </w:rPr>
            </w:pPr>
            <w:r>
              <w:rPr>
                <w:rFonts w:hint="eastAsia" w:ascii="仿宋" w:hAnsi="仿宋" w:eastAsia="仿宋" w:cs="仿宋"/>
                <w:kern w:val="0"/>
                <w:sz w:val="22"/>
                <w:lang w:val="en-US" w:eastAsia="zh-CN"/>
              </w:rPr>
              <w:t>1602.81</w:t>
            </w:r>
          </w:p>
        </w:tc>
      </w:tr>
      <w:tr>
        <w:tblPrEx>
          <w:tblCellMar>
            <w:top w:w="0" w:type="dxa"/>
            <w:left w:w="108" w:type="dxa"/>
            <w:bottom w:w="0" w:type="dxa"/>
            <w:right w:w="108" w:type="dxa"/>
          </w:tblCellMar>
        </w:tblPrEx>
        <w:trPr>
          <w:trHeight w:val="731" w:hRule="atLeast"/>
        </w:trPr>
        <w:tc>
          <w:tcPr>
            <w:tcW w:w="2989" w:type="dxa"/>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sz w:val="22"/>
              </w:rPr>
            </w:pPr>
            <w:r>
              <w:rPr>
                <w:rFonts w:hint="eastAsia" w:ascii="仿宋" w:hAnsi="仿宋" w:eastAsia="仿宋" w:cs="仿宋"/>
                <w:kern w:val="0"/>
                <w:sz w:val="22"/>
              </w:rPr>
              <w:t>1、房屋（平方米）</w:t>
            </w:r>
          </w:p>
        </w:tc>
        <w:tc>
          <w:tcPr>
            <w:tcW w:w="216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2"/>
                <w:lang w:val="en-US" w:eastAsia="zh-CN"/>
              </w:rPr>
            </w:pPr>
            <w:r>
              <w:rPr>
                <w:rFonts w:hint="eastAsia" w:ascii="仿宋" w:hAnsi="仿宋" w:eastAsia="仿宋" w:cs="仿宋"/>
                <w:kern w:val="0"/>
                <w:sz w:val="22"/>
                <w:lang w:val="en-US" w:eastAsia="zh-CN"/>
              </w:rPr>
              <w:t>7741.74</w:t>
            </w:r>
          </w:p>
        </w:tc>
        <w:tc>
          <w:tcPr>
            <w:tcW w:w="3241"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2"/>
                <w:lang w:val="en-US" w:eastAsia="zh-CN"/>
              </w:rPr>
            </w:pPr>
            <w:r>
              <w:rPr>
                <w:rFonts w:hint="eastAsia" w:ascii="仿宋" w:hAnsi="仿宋" w:eastAsia="仿宋" w:cs="仿宋"/>
                <w:kern w:val="0"/>
                <w:sz w:val="22"/>
                <w:lang w:val="en-US" w:eastAsia="zh-CN"/>
              </w:rPr>
              <w:t>945.89</w:t>
            </w:r>
          </w:p>
        </w:tc>
      </w:tr>
      <w:tr>
        <w:tblPrEx>
          <w:tblCellMar>
            <w:top w:w="0" w:type="dxa"/>
            <w:left w:w="108" w:type="dxa"/>
            <w:bottom w:w="0" w:type="dxa"/>
            <w:right w:w="108" w:type="dxa"/>
          </w:tblCellMar>
        </w:tblPrEx>
        <w:trPr>
          <w:trHeight w:val="731" w:hRule="atLeast"/>
        </w:trPr>
        <w:tc>
          <w:tcPr>
            <w:tcW w:w="2989" w:type="dxa"/>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sz w:val="22"/>
              </w:rPr>
            </w:pPr>
            <w:r>
              <w:rPr>
                <w:rFonts w:hint="eastAsia" w:ascii="仿宋" w:hAnsi="仿宋" w:eastAsia="仿宋" w:cs="仿宋"/>
                <w:kern w:val="0"/>
                <w:sz w:val="22"/>
              </w:rPr>
              <w:t xml:space="preserve">   其中：办公用房（平方米）</w:t>
            </w:r>
          </w:p>
        </w:tc>
        <w:tc>
          <w:tcPr>
            <w:tcW w:w="216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2"/>
              </w:rPr>
            </w:pPr>
            <w:r>
              <w:rPr>
                <w:rFonts w:hint="eastAsia" w:ascii="仿宋" w:hAnsi="仿宋" w:eastAsia="仿宋" w:cs="仿宋"/>
                <w:kern w:val="0"/>
                <w:sz w:val="22"/>
                <w:lang w:val="en-US" w:eastAsia="zh-CN"/>
              </w:rPr>
              <w:t>7741.74</w:t>
            </w:r>
          </w:p>
        </w:tc>
        <w:tc>
          <w:tcPr>
            <w:tcW w:w="3241"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2"/>
              </w:rPr>
            </w:pPr>
            <w:r>
              <w:rPr>
                <w:rFonts w:hint="eastAsia" w:ascii="仿宋" w:hAnsi="仿宋" w:eastAsia="仿宋" w:cs="仿宋"/>
                <w:kern w:val="0"/>
                <w:sz w:val="22"/>
                <w:lang w:val="en-US" w:eastAsia="zh-CN"/>
              </w:rPr>
              <w:t>945.89</w:t>
            </w:r>
          </w:p>
        </w:tc>
      </w:tr>
      <w:tr>
        <w:tblPrEx>
          <w:tblCellMar>
            <w:top w:w="0" w:type="dxa"/>
            <w:left w:w="108" w:type="dxa"/>
            <w:bottom w:w="0" w:type="dxa"/>
            <w:right w:w="108" w:type="dxa"/>
          </w:tblCellMar>
        </w:tblPrEx>
        <w:trPr>
          <w:trHeight w:val="731" w:hRule="atLeast"/>
        </w:trPr>
        <w:tc>
          <w:tcPr>
            <w:tcW w:w="2989" w:type="dxa"/>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sz w:val="22"/>
              </w:rPr>
            </w:pPr>
            <w:r>
              <w:rPr>
                <w:rFonts w:hint="eastAsia" w:ascii="仿宋" w:hAnsi="仿宋" w:eastAsia="仿宋" w:cs="仿宋"/>
                <w:kern w:val="0"/>
                <w:sz w:val="22"/>
              </w:rPr>
              <w:t>2、车辆（台、辆）</w:t>
            </w:r>
          </w:p>
        </w:tc>
        <w:tc>
          <w:tcPr>
            <w:tcW w:w="216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2"/>
                <w:lang w:val="en-US" w:eastAsia="zh-CN"/>
              </w:rPr>
            </w:pPr>
            <w:r>
              <w:rPr>
                <w:rFonts w:hint="eastAsia" w:ascii="仿宋" w:hAnsi="仿宋" w:eastAsia="仿宋" w:cs="仿宋"/>
                <w:kern w:val="0"/>
                <w:sz w:val="22"/>
                <w:lang w:val="en-US" w:eastAsia="zh-CN"/>
              </w:rPr>
              <w:t>4</w:t>
            </w:r>
          </w:p>
        </w:tc>
        <w:tc>
          <w:tcPr>
            <w:tcW w:w="3241" w:type="dxa"/>
            <w:tcBorders>
              <w:top w:val="nil"/>
              <w:left w:val="nil"/>
              <w:bottom w:val="single" w:color="auto" w:sz="4" w:space="0"/>
              <w:right w:val="single" w:color="auto" w:sz="4" w:space="0"/>
            </w:tcBorders>
            <w:noWrap w:val="0"/>
            <w:vAlign w:val="center"/>
          </w:tcPr>
          <w:p>
            <w:pPr>
              <w:widowControl/>
              <w:jc w:val="center"/>
              <w:rPr>
                <w:rFonts w:hint="default" w:ascii="仿宋" w:hAnsi="仿宋" w:eastAsia="仿宋" w:cs="仿宋"/>
                <w:kern w:val="0"/>
                <w:sz w:val="22"/>
                <w:lang w:val="en-US" w:eastAsia="zh-CN"/>
              </w:rPr>
            </w:pPr>
            <w:r>
              <w:rPr>
                <w:rFonts w:hint="eastAsia" w:ascii="仿宋" w:hAnsi="仿宋" w:eastAsia="仿宋" w:cs="仿宋"/>
                <w:kern w:val="0"/>
                <w:sz w:val="22"/>
                <w:lang w:val="en-US" w:eastAsia="zh-CN"/>
              </w:rPr>
              <w:t>68.08</w:t>
            </w:r>
          </w:p>
        </w:tc>
      </w:tr>
      <w:tr>
        <w:tblPrEx>
          <w:tblCellMar>
            <w:top w:w="0" w:type="dxa"/>
            <w:left w:w="108" w:type="dxa"/>
            <w:bottom w:w="0" w:type="dxa"/>
            <w:right w:w="108" w:type="dxa"/>
          </w:tblCellMar>
        </w:tblPrEx>
        <w:trPr>
          <w:trHeight w:val="767" w:hRule="atLeast"/>
        </w:trPr>
        <w:tc>
          <w:tcPr>
            <w:tcW w:w="2989" w:type="dxa"/>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sz w:val="22"/>
              </w:rPr>
            </w:pPr>
            <w:r>
              <w:rPr>
                <w:rFonts w:hint="eastAsia" w:ascii="仿宋" w:hAnsi="仿宋" w:eastAsia="仿宋" w:cs="仿宋"/>
                <w:kern w:val="0"/>
                <w:sz w:val="22"/>
              </w:rPr>
              <w:t>3、单价在20万元以上的设备</w:t>
            </w:r>
          </w:p>
        </w:tc>
        <w:tc>
          <w:tcPr>
            <w:tcW w:w="216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2"/>
                <w:lang w:eastAsia="zh-CN"/>
              </w:rPr>
            </w:pPr>
            <w:r>
              <w:rPr>
                <w:rFonts w:hint="eastAsia" w:ascii="仿宋" w:hAnsi="仿宋" w:eastAsia="仿宋" w:cs="仿宋"/>
                <w:kern w:val="0"/>
                <w:sz w:val="22"/>
                <w:lang w:val="en-US" w:eastAsia="zh-CN"/>
              </w:rPr>
              <w:t>0</w:t>
            </w:r>
          </w:p>
        </w:tc>
        <w:tc>
          <w:tcPr>
            <w:tcW w:w="3241"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kern w:val="0"/>
                <w:sz w:val="22"/>
                <w:lang w:val="en-US" w:eastAsia="zh-CN"/>
              </w:rPr>
            </w:pPr>
            <w:r>
              <w:rPr>
                <w:rFonts w:hint="eastAsia" w:ascii="仿宋" w:hAnsi="仿宋" w:eastAsia="仿宋" w:cs="仿宋"/>
                <w:kern w:val="0"/>
                <w:sz w:val="22"/>
                <w:lang w:val="en-US" w:eastAsia="zh-CN"/>
              </w:rPr>
              <w:t>0</w:t>
            </w:r>
          </w:p>
        </w:tc>
      </w:tr>
      <w:tr>
        <w:tblPrEx>
          <w:tblCellMar>
            <w:top w:w="0" w:type="dxa"/>
            <w:left w:w="108" w:type="dxa"/>
            <w:bottom w:w="0" w:type="dxa"/>
            <w:right w:w="108" w:type="dxa"/>
          </w:tblCellMar>
        </w:tblPrEx>
        <w:trPr>
          <w:trHeight w:val="740" w:hRule="atLeast"/>
        </w:trPr>
        <w:tc>
          <w:tcPr>
            <w:tcW w:w="2989" w:type="dxa"/>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kern w:val="0"/>
                <w:sz w:val="22"/>
              </w:rPr>
            </w:pPr>
            <w:r>
              <w:rPr>
                <w:rFonts w:hint="eastAsia" w:ascii="仿宋" w:hAnsi="仿宋" w:eastAsia="仿宋" w:cs="仿宋"/>
                <w:kern w:val="0"/>
                <w:sz w:val="22"/>
              </w:rPr>
              <w:t>4、其他固定资产</w:t>
            </w:r>
          </w:p>
        </w:tc>
        <w:tc>
          <w:tcPr>
            <w:tcW w:w="2169" w:type="dxa"/>
            <w:tcBorders>
              <w:top w:val="nil"/>
              <w:left w:val="nil"/>
              <w:bottom w:val="single" w:color="auto" w:sz="4" w:space="0"/>
              <w:right w:val="single" w:color="auto" w:sz="4" w:space="0"/>
            </w:tcBorders>
            <w:noWrap w:val="0"/>
            <w:vAlign w:val="center"/>
          </w:tcPr>
          <w:p>
            <w:pPr>
              <w:widowControl/>
              <w:jc w:val="center"/>
              <w:rPr>
                <w:rFonts w:hint="default" w:ascii="仿宋" w:hAnsi="仿宋" w:eastAsia="仿宋" w:cs="仿宋"/>
                <w:kern w:val="0"/>
                <w:sz w:val="22"/>
                <w:lang w:val="en-US" w:eastAsia="zh-CN"/>
              </w:rPr>
            </w:pPr>
            <w:r>
              <w:rPr>
                <w:rFonts w:hint="eastAsia" w:ascii="仿宋" w:hAnsi="仿宋" w:eastAsia="仿宋" w:cs="仿宋"/>
                <w:kern w:val="0"/>
                <w:sz w:val="22"/>
                <w:lang w:val="en-US" w:eastAsia="zh-CN"/>
              </w:rPr>
              <w:t>1992</w:t>
            </w:r>
          </w:p>
        </w:tc>
        <w:tc>
          <w:tcPr>
            <w:tcW w:w="3241" w:type="dxa"/>
            <w:tcBorders>
              <w:top w:val="nil"/>
              <w:left w:val="nil"/>
              <w:bottom w:val="single" w:color="auto" w:sz="4" w:space="0"/>
              <w:right w:val="single" w:color="auto" w:sz="4" w:space="0"/>
            </w:tcBorders>
            <w:noWrap w:val="0"/>
            <w:vAlign w:val="center"/>
          </w:tcPr>
          <w:p>
            <w:pPr>
              <w:widowControl/>
              <w:jc w:val="center"/>
              <w:rPr>
                <w:rFonts w:hint="default" w:ascii="仿宋" w:hAnsi="仿宋" w:eastAsia="仿宋" w:cs="仿宋"/>
                <w:kern w:val="0"/>
                <w:sz w:val="22"/>
                <w:lang w:val="en-US" w:eastAsia="zh-CN"/>
              </w:rPr>
            </w:pPr>
            <w:r>
              <w:rPr>
                <w:rFonts w:hint="eastAsia" w:ascii="仿宋" w:hAnsi="仿宋" w:eastAsia="仿宋" w:cs="仿宋"/>
                <w:kern w:val="0"/>
                <w:sz w:val="22"/>
                <w:lang w:val="en-US" w:eastAsia="zh-CN"/>
              </w:rPr>
              <w:t>588.84</w:t>
            </w:r>
          </w:p>
        </w:tc>
      </w:tr>
    </w:tbl>
    <w:p>
      <w:pPr>
        <w:tabs>
          <w:tab w:val="left" w:pos="3338"/>
        </w:tabs>
        <w:bidi w:val="0"/>
        <w:jc w:val="left"/>
        <w:rPr>
          <w:rFonts w:hint="eastAsia" w:ascii="仿宋_GB2312" w:hAnsi="仿宋_GB2312" w:eastAsia="仿宋_GB2312" w:cs="仿宋_GB2312"/>
          <w:lang w:val="en-US" w:eastAsia="zh-CN"/>
        </w:rPr>
      </w:pPr>
    </w:p>
    <w:tbl>
      <w:tblPr>
        <w:tblStyle w:val="13"/>
        <w:tblpPr w:leftFromText="180" w:rightFromText="180" w:vertAnchor="page" w:horzAnchor="page" w:tblpX="1630" w:tblpY="3537"/>
        <w:tblOverlap w:val="never"/>
        <w:tblW w:w="0" w:type="auto"/>
        <w:tblInd w:w="0" w:type="dxa"/>
        <w:tblLayout w:type="autofit"/>
        <w:tblCellMar>
          <w:top w:w="0" w:type="dxa"/>
          <w:left w:w="108" w:type="dxa"/>
          <w:bottom w:w="0" w:type="dxa"/>
          <w:right w:w="108" w:type="dxa"/>
        </w:tblCellMar>
      </w:tblPr>
      <w:tblGrid>
        <w:gridCol w:w="5272"/>
        <w:gridCol w:w="3264"/>
      </w:tblGrid>
      <w:tr>
        <w:tblPrEx>
          <w:tblCellMar>
            <w:top w:w="0" w:type="dxa"/>
            <w:left w:w="108" w:type="dxa"/>
            <w:bottom w:w="0" w:type="dxa"/>
            <w:right w:w="108" w:type="dxa"/>
          </w:tblCellMar>
        </w:tblPrEx>
        <w:trPr>
          <w:trHeight w:val="90" w:hRule="atLeast"/>
        </w:trPr>
        <w:tc>
          <w:tcPr>
            <w:tcW w:w="0" w:type="auto"/>
            <w:gridSpan w:val="2"/>
            <w:tcBorders>
              <w:top w:val="nil"/>
              <w:left w:val="nil"/>
              <w:bottom w:val="nil"/>
              <w:right w:val="nil"/>
            </w:tcBorders>
            <w:noWrap w:val="0"/>
            <w:vAlign w:val="center"/>
          </w:tcPr>
          <w:p>
            <w:pPr>
              <w:widowControl/>
              <w:jc w:val="both"/>
              <w:rPr>
                <w:rFonts w:hint="eastAsia"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大厂回族自治县</w:t>
            </w:r>
            <w:r>
              <w:rPr>
                <w:rFonts w:hint="eastAsia" w:ascii="仿宋_GB2312" w:hAnsi="仿宋_GB2312" w:eastAsia="仿宋_GB2312" w:cs="仿宋_GB2312"/>
                <w:bCs/>
                <w:kern w:val="0"/>
                <w:sz w:val="32"/>
                <w:szCs w:val="32"/>
                <w:lang w:eastAsia="zh-CN"/>
              </w:rPr>
              <w:t>人力资源和社会保障局</w:t>
            </w:r>
            <w:r>
              <w:rPr>
                <w:rFonts w:hint="eastAsia" w:ascii="仿宋_GB2312" w:hAnsi="仿宋_GB2312" w:eastAsia="仿宋_GB2312" w:cs="仿宋_GB2312"/>
                <w:bCs/>
                <w:kern w:val="0"/>
                <w:sz w:val="32"/>
                <w:szCs w:val="32"/>
              </w:rPr>
              <w:t>固定资产占用情况表</w:t>
            </w:r>
          </w:p>
        </w:tc>
      </w:tr>
      <w:tr>
        <w:tblPrEx>
          <w:tblCellMar>
            <w:top w:w="0" w:type="dxa"/>
            <w:left w:w="108" w:type="dxa"/>
            <w:bottom w:w="0" w:type="dxa"/>
            <w:right w:w="108" w:type="dxa"/>
          </w:tblCellMar>
        </w:tblPrEx>
        <w:trPr>
          <w:trHeight w:val="510" w:hRule="atLeast"/>
        </w:trPr>
        <w:tc>
          <w:tcPr>
            <w:tcW w:w="0" w:type="auto"/>
            <w:tcBorders>
              <w:top w:val="nil"/>
              <w:left w:val="nil"/>
              <w:bottom w:val="nil"/>
              <w:right w:val="nil"/>
            </w:tcBorders>
            <w:noWrap w:val="0"/>
            <w:vAlign w:val="center"/>
          </w:tcPr>
          <w:p>
            <w:pPr>
              <w:widowControl/>
              <w:jc w:val="left"/>
              <w:rPr>
                <w:rFonts w:hint="eastAsia" w:ascii="仿宋" w:hAnsi="仿宋" w:eastAsia="仿宋" w:cs="仿宋"/>
                <w:kern w:val="0"/>
                <w:sz w:val="22"/>
                <w:lang w:eastAsia="zh-CN"/>
              </w:rPr>
            </w:pPr>
            <w:r>
              <w:rPr>
                <w:rFonts w:hint="eastAsia" w:ascii="仿宋" w:hAnsi="仿宋" w:eastAsia="仿宋" w:cs="仿宋"/>
                <w:kern w:val="0"/>
                <w:sz w:val="22"/>
              </w:rPr>
              <w:t>编制部门：大厂回族自治县</w:t>
            </w:r>
            <w:r>
              <w:rPr>
                <w:rFonts w:hint="eastAsia" w:ascii="仿宋" w:hAnsi="仿宋" w:eastAsia="仿宋" w:cs="仿宋"/>
                <w:kern w:val="0"/>
                <w:sz w:val="22"/>
                <w:lang w:eastAsia="zh-CN"/>
              </w:rPr>
              <w:t>人力资源和社会保障局</w:t>
            </w:r>
          </w:p>
        </w:tc>
        <w:tc>
          <w:tcPr>
            <w:tcW w:w="0" w:type="auto"/>
            <w:tcBorders>
              <w:top w:val="nil"/>
              <w:left w:val="nil"/>
              <w:bottom w:val="nil"/>
              <w:right w:val="nil"/>
            </w:tcBorders>
            <w:noWrap w:val="0"/>
            <w:vAlign w:val="center"/>
          </w:tcPr>
          <w:p>
            <w:pPr>
              <w:widowControl/>
              <w:jc w:val="left"/>
              <w:rPr>
                <w:rFonts w:hint="eastAsia" w:ascii="仿宋" w:hAnsi="仿宋" w:eastAsia="仿宋" w:cs="仿宋"/>
                <w:kern w:val="0"/>
                <w:sz w:val="22"/>
              </w:rPr>
            </w:pPr>
            <w:r>
              <w:rPr>
                <w:rFonts w:hint="eastAsia" w:ascii="仿宋" w:hAnsi="仿宋" w:eastAsia="仿宋" w:cs="仿宋"/>
                <w:kern w:val="0"/>
                <w:sz w:val="22"/>
              </w:rPr>
              <w:t>截止时间：201</w:t>
            </w:r>
            <w:r>
              <w:rPr>
                <w:rFonts w:hint="eastAsia" w:ascii="仿宋" w:hAnsi="仿宋" w:eastAsia="仿宋" w:cs="仿宋"/>
                <w:kern w:val="0"/>
                <w:sz w:val="22"/>
                <w:lang w:val="en-US" w:eastAsia="zh-CN"/>
              </w:rPr>
              <w:t>8</w:t>
            </w:r>
            <w:r>
              <w:rPr>
                <w:rFonts w:hint="eastAsia" w:ascii="仿宋" w:hAnsi="仿宋" w:eastAsia="仿宋" w:cs="仿宋"/>
                <w:kern w:val="0"/>
                <w:sz w:val="22"/>
              </w:rPr>
              <w:t xml:space="preserve">年12月31日  </w:t>
            </w:r>
          </w:p>
        </w:tc>
      </w:tr>
    </w:tbl>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hint="eastAsia" w:ascii="仿宋_GB2312" w:hAnsi="仿宋_GB2312" w:eastAsia="仿宋_GB2312" w:cs="仿宋_GB2312"/>
          <w:sz w:val="32"/>
          <w:szCs w:val="32"/>
          <w:lang w:eastAsia="zh-CN"/>
        </w:rPr>
      </w:pPr>
      <w:r>
        <w:rPr>
          <w:rFonts w:hint="eastAsia" w:ascii="仿宋_GB2312" w:eastAsia="仿宋_GB2312" w:cs="DengXian-Regular"/>
          <w:sz w:val="32"/>
          <w:szCs w:val="32"/>
        </w:rPr>
        <w:t>1、</w:t>
      </w:r>
      <w:r>
        <w:rPr>
          <w:rFonts w:hint="eastAsia" w:ascii="仿宋_GB2312" w:hAnsi="仿宋_GB2312" w:eastAsia="仿宋_GB2312" w:cs="仿宋_GB2312"/>
          <w:sz w:val="32"/>
          <w:szCs w:val="32"/>
        </w:rPr>
        <w:t>本部门2018年度国有资本经营预算财政拨款无收支，故国有资本经营预算财政拨款收入支出决算表以空表列示</w:t>
      </w:r>
      <w:r>
        <w:rPr>
          <w:rFonts w:hint="eastAsia" w:ascii="仿宋_GB2312" w:hAnsi="仿宋_GB2312" w:eastAsia="仿宋_GB2312" w:cs="仿宋_GB2312"/>
          <w:sz w:val="32"/>
          <w:szCs w:val="32"/>
          <w:lang w:eastAsia="zh-CN"/>
        </w:rPr>
        <w:t>。</w:t>
      </w:r>
    </w:p>
    <w:p>
      <w:pPr>
        <w:adjustRightInd w:val="0"/>
        <w:snapToGrid w:val="0"/>
        <w:spacing w:after="0"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hint="eastAsia" w:ascii="仿宋_GB2312" w:hAnsi="仿宋_GB2312" w:eastAsia="仿宋_GB2312" w:cs="仿宋_GB2312"/>
          <w:b/>
          <w:bCs/>
          <w:kern w:val="0"/>
          <w:sz w:val="44"/>
          <w:szCs w:val="44"/>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第四部分</w:t>
      </w:r>
    </w:p>
    <w:p>
      <w:pPr>
        <w:widowControl/>
        <w:spacing w:line="1200" w:lineRule="exact"/>
        <w:jc w:val="center"/>
        <w:rPr>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名词解释</w:t>
      </w:r>
    </w:p>
    <w:p>
      <w:pPr>
        <w:rPr>
          <w:rFonts w:ascii="宋体" w:hAnsi="宋体" w:cs="ArialUnicodeMS"/>
          <w:color w:val="000000"/>
          <w:kern w:val="0"/>
        </w:rPr>
        <w:sectPr>
          <w:pgSz w:w="11906" w:h="16838"/>
          <w:pgMar w:top="2098" w:right="1474" w:bottom="1984" w:left="1588" w:header="851" w:footer="992" w:gutter="0"/>
          <w:pgBorders>
            <w:top w:val="none" w:sz="0" w:space="0"/>
            <w:left w:val="none" w:sz="0" w:space="0"/>
            <w:bottom w:val="none" w:sz="0" w:space="0"/>
            <w:right w:val="none" w:sz="0" w:space="0"/>
          </w:pgBorders>
          <w:cols w:space="0" w:num="1"/>
          <w:docGrid w:type="lines" w:linePitch="312" w:charSpace="0"/>
        </w:sectPr>
      </w:pP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rPr>
          <w:rFonts w:ascii="仿宋_GB2312" w:eastAsia="仿宋_GB2312" w:cs="ArialUnicodeMS" w:hAnsiTheme="minorHAnsi"/>
          <w:kern w:val="0"/>
          <w:sz w:val="32"/>
          <w:szCs w:val="32"/>
        </w:rPr>
      </w:pPr>
    </w:p>
    <w:sectPr>
      <w:pgSz w:w="11906" w:h="16838"/>
      <w:pgMar w:top="2098" w:right="1474" w:bottom="1985" w:left="1588"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CE30513-FCE0-4BD9-A74D-513E08DF01BD}"/>
  </w:font>
  <w:font w:name="黑体">
    <w:panose1 w:val="02010609060101010101"/>
    <w:charset w:val="86"/>
    <w:family w:val="auto"/>
    <w:pitch w:val="default"/>
    <w:sig w:usb0="800002BF" w:usb1="38CF7CFA" w:usb2="00000016" w:usb3="00000000" w:csb0="00040001" w:csb1="00000000"/>
    <w:embedRegular r:id="rId2" w:fontKey="{7C04C30A-F28C-4F88-90F6-9414FCCF1DD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F6B6B82B-9B8C-4232-B08B-62E5CF786820}"/>
  </w:font>
  <w:font w:name="仿宋_GB2312">
    <w:panose1 w:val="02010609030101010101"/>
    <w:charset w:val="86"/>
    <w:family w:val="modern"/>
    <w:pitch w:val="default"/>
    <w:sig w:usb0="00000001" w:usb1="080E0000" w:usb2="00000000" w:usb3="00000000" w:csb0="00040000" w:csb1="00000000"/>
    <w:embedRegular r:id="rId4" w:fontKey="{0CD6ABCB-E437-462B-B2BF-009B5663DF17}"/>
  </w:font>
  <w:font w:name="ArialUnicodeMS">
    <w:altName w:val="Malgun Gothic"/>
    <w:panose1 w:val="00000000000000000000"/>
    <w:charset w:val="81"/>
    <w:family w:val="auto"/>
    <w:pitch w:val="default"/>
    <w:sig w:usb0="00000000" w:usb1="00000000" w:usb2="00000010" w:usb3="00000000" w:csb0="00080001" w:csb1="00000000"/>
    <w:embedRegular r:id="rId5" w:fontKey="{AB1F35D8-580A-4D88-9C65-3DAD57DB6C0B}"/>
  </w:font>
  <w:font w:name="仿宋">
    <w:panose1 w:val="02010609060101010101"/>
    <w:charset w:val="86"/>
    <w:family w:val="modern"/>
    <w:pitch w:val="default"/>
    <w:sig w:usb0="800002BF" w:usb1="38CF7CFA" w:usb2="00000016" w:usb3="00000000" w:csb0="00040001" w:csb1="00000000"/>
    <w:embedRegular r:id="rId6" w:fontKey="{8A2CF780-7771-427B-AA64-4993152AF98C}"/>
  </w:font>
  <w:font w:name="MS-UIGothic,Bold">
    <w:altName w:val="Malgun Gothic"/>
    <w:panose1 w:val="00000000000000000000"/>
    <w:charset w:val="81"/>
    <w:family w:val="auto"/>
    <w:pitch w:val="default"/>
    <w:sig w:usb0="00000000" w:usb1="00000000" w:usb2="00000010" w:usb3="00000000" w:csb0="00080000" w:csb1="00000000"/>
    <w:embedRegular r:id="rId7" w:fontKey="{7087B1A8-F694-4C5E-A430-E2053DAA4562}"/>
  </w:font>
  <w:font w:name="DengXian-Regular">
    <w:altName w:val="宋体"/>
    <w:panose1 w:val="00000000000000000000"/>
    <w:charset w:val="86"/>
    <w:family w:val="auto"/>
    <w:pitch w:val="default"/>
    <w:sig w:usb0="00000000" w:usb1="00000000" w:usb2="00000010" w:usb3="00000000" w:csb0="00040001" w:csb1="00000000"/>
    <w:embedRegular r:id="rId8" w:fontKey="{7BFDFD80-100C-4B71-A8AB-87064EFED752}"/>
  </w:font>
  <w:font w:name="楷体_GB2312">
    <w:panose1 w:val="02010609030101010101"/>
    <w:charset w:val="86"/>
    <w:family w:val="modern"/>
    <w:pitch w:val="default"/>
    <w:sig w:usb0="00000001" w:usb1="080E0000" w:usb2="00000000" w:usb3="00000000" w:csb0="00040000" w:csb1="00000000"/>
    <w:embedRegular r:id="rId9" w:fontKey="{7298CF5B-2A37-4AC0-915A-F1A84C7D4A4B}"/>
  </w:font>
  <w:font w:name="DengXian-Bold">
    <w:altName w:val="宋体"/>
    <w:panose1 w:val="00000000000000000000"/>
    <w:charset w:val="86"/>
    <w:family w:val="auto"/>
    <w:pitch w:val="default"/>
    <w:sig w:usb0="00000000" w:usb1="00000000" w:usb2="00000010" w:usb3="00000000" w:csb0="00040001" w:csb1="00000000"/>
    <w:embedRegular r:id="rId10" w:fontKey="{9534BF7D-0BAC-4DD7-B750-6135D536856A}"/>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795FBA86"/>
    <w:multiLevelType w:val="singleLevel"/>
    <w:tmpl w:val="795FBA86"/>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2OWFmYTI2Mzc5NGFjN2QxOTkwYWU5MjdkODBlMzgifQ=="/>
  </w:docVars>
  <w:rsids>
    <w:rsidRoot w:val="003C1413"/>
    <w:rsid w:val="00020FAF"/>
    <w:rsid w:val="00022474"/>
    <w:rsid w:val="00024E7F"/>
    <w:rsid w:val="000475A0"/>
    <w:rsid w:val="00067693"/>
    <w:rsid w:val="000838C3"/>
    <w:rsid w:val="000B2446"/>
    <w:rsid w:val="000D7C65"/>
    <w:rsid w:val="000E2F81"/>
    <w:rsid w:val="00101F8D"/>
    <w:rsid w:val="00117946"/>
    <w:rsid w:val="00117E2C"/>
    <w:rsid w:val="00146C47"/>
    <w:rsid w:val="00152FB8"/>
    <w:rsid w:val="00176658"/>
    <w:rsid w:val="0018239E"/>
    <w:rsid w:val="001B3410"/>
    <w:rsid w:val="001B7503"/>
    <w:rsid w:val="001C030D"/>
    <w:rsid w:val="001C4A84"/>
    <w:rsid w:val="001E5902"/>
    <w:rsid w:val="00233705"/>
    <w:rsid w:val="00246D99"/>
    <w:rsid w:val="00257266"/>
    <w:rsid w:val="00262306"/>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374A3"/>
    <w:rsid w:val="00493686"/>
    <w:rsid w:val="004B6E37"/>
    <w:rsid w:val="004C32BA"/>
    <w:rsid w:val="004C68EF"/>
    <w:rsid w:val="00575922"/>
    <w:rsid w:val="005A3C0D"/>
    <w:rsid w:val="005A6C90"/>
    <w:rsid w:val="005B37E6"/>
    <w:rsid w:val="005E3FB0"/>
    <w:rsid w:val="005F4B66"/>
    <w:rsid w:val="005F5208"/>
    <w:rsid w:val="00615C31"/>
    <w:rsid w:val="00641318"/>
    <w:rsid w:val="0064405D"/>
    <w:rsid w:val="00695557"/>
    <w:rsid w:val="006D4EA7"/>
    <w:rsid w:val="0070012A"/>
    <w:rsid w:val="0070664B"/>
    <w:rsid w:val="007071B8"/>
    <w:rsid w:val="007155C2"/>
    <w:rsid w:val="007414DE"/>
    <w:rsid w:val="00760C0C"/>
    <w:rsid w:val="007905A9"/>
    <w:rsid w:val="007E072B"/>
    <w:rsid w:val="007E5500"/>
    <w:rsid w:val="007F055B"/>
    <w:rsid w:val="00811C2F"/>
    <w:rsid w:val="00833D46"/>
    <w:rsid w:val="00836215"/>
    <w:rsid w:val="00840A97"/>
    <w:rsid w:val="00872B02"/>
    <w:rsid w:val="00873292"/>
    <w:rsid w:val="008A640A"/>
    <w:rsid w:val="008C0149"/>
    <w:rsid w:val="008D5DED"/>
    <w:rsid w:val="008E25CA"/>
    <w:rsid w:val="008F34FC"/>
    <w:rsid w:val="00944CD7"/>
    <w:rsid w:val="00961190"/>
    <w:rsid w:val="009831B2"/>
    <w:rsid w:val="009A1ABE"/>
    <w:rsid w:val="009E21A4"/>
    <w:rsid w:val="009F22C6"/>
    <w:rsid w:val="00A07E50"/>
    <w:rsid w:val="00A12C15"/>
    <w:rsid w:val="00A15397"/>
    <w:rsid w:val="00A35CE0"/>
    <w:rsid w:val="00A4462E"/>
    <w:rsid w:val="00A44AA4"/>
    <w:rsid w:val="00A61623"/>
    <w:rsid w:val="00A84687"/>
    <w:rsid w:val="00AA0458"/>
    <w:rsid w:val="00AB0A0E"/>
    <w:rsid w:val="00AD3B6E"/>
    <w:rsid w:val="00AF6D31"/>
    <w:rsid w:val="00B1751F"/>
    <w:rsid w:val="00B50F96"/>
    <w:rsid w:val="00B56722"/>
    <w:rsid w:val="00B67044"/>
    <w:rsid w:val="00B74D39"/>
    <w:rsid w:val="00B827C6"/>
    <w:rsid w:val="00B91DA4"/>
    <w:rsid w:val="00BA7174"/>
    <w:rsid w:val="00C12630"/>
    <w:rsid w:val="00C34562"/>
    <w:rsid w:val="00C3774E"/>
    <w:rsid w:val="00C57456"/>
    <w:rsid w:val="00C65387"/>
    <w:rsid w:val="00C87FAB"/>
    <w:rsid w:val="00C91FF7"/>
    <w:rsid w:val="00C92D15"/>
    <w:rsid w:val="00C94E53"/>
    <w:rsid w:val="00CE3FC3"/>
    <w:rsid w:val="00D0048E"/>
    <w:rsid w:val="00D23E7A"/>
    <w:rsid w:val="00D56D8F"/>
    <w:rsid w:val="00D61063"/>
    <w:rsid w:val="00DB35AF"/>
    <w:rsid w:val="00DD72D7"/>
    <w:rsid w:val="00DF5B88"/>
    <w:rsid w:val="00E0589E"/>
    <w:rsid w:val="00E0697F"/>
    <w:rsid w:val="00E241FA"/>
    <w:rsid w:val="00E2595E"/>
    <w:rsid w:val="00E35374"/>
    <w:rsid w:val="00E50C19"/>
    <w:rsid w:val="00E64655"/>
    <w:rsid w:val="00E73081"/>
    <w:rsid w:val="00E856C9"/>
    <w:rsid w:val="00EA4F68"/>
    <w:rsid w:val="00EB6A8B"/>
    <w:rsid w:val="00EC6814"/>
    <w:rsid w:val="00ED411D"/>
    <w:rsid w:val="00EF38C6"/>
    <w:rsid w:val="00F679C7"/>
    <w:rsid w:val="00F7711A"/>
    <w:rsid w:val="00F80C72"/>
    <w:rsid w:val="00FA0D58"/>
    <w:rsid w:val="00FA1580"/>
    <w:rsid w:val="00FA56F4"/>
    <w:rsid w:val="00FB4EDA"/>
    <w:rsid w:val="00FD3BD5"/>
    <w:rsid w:val="00FE3DC8"/>
    <w:rsid w:val="01E640BF"/>
    <w:rsid w:val="02AC6247"/>
    <w:rsid w:val="04073F84"/>
    <w:rsid w:val="04BD0BB2"/>
    <w:rsid w:val="05346E28"/>
    <w:rsid w:val="065623DA"/>
    <w:rsid w:val="06F46C78"/>
    <w:rsid w:val="0700035E"/>
    <w:rsid w:val="07784D3C"/>
    <w:rsid w:val="084073D2"/>
    <w:rsid w:val="0AE35A1A"/>
    <w:rsid w:val="0AF8375D"/>
    <w:rsid w:val="0B60750A"/>
    <w:rsid w:val="0D731394"/>
    <w:rsid w:val="0E0425EB"/>
    <w:rsid w:val="0E451249"/>
    <w:rsid w:val="0F4062CF"/>
    <w:rsid w:val="0F4E0B0C"/>
    <w:rsid w:val="10686488"/>
    <w:rsid w:val="10DF728A"/>
    <w:rsid w:val="11F2106E"/>
    <w:rsid w:val="1264200E"/>
    <w:rsid w:val="13740336"/>
    <w:rsid w:val="141C5B77"/>
    <w:rsid w:val="171D240E"/>
    <w:rsid w:val="176F645C"/>
    <w:rsid w:val="18D8339D"/>
    <w:rsid w:val="190523E1"/>
    <w:rsid w:val="1A00552F"/>
    <w:rsid w:val="1A21388F"/>
    <w:rsid w:val="1A570D2F"/>
    <w:rsid w:val="1C2F488C"/>
    <w:rsid w:val="1D8C744F"/>
    <w:rsid w:val="1DF55CAF"/>
    <w:rsid w:val="1E7D0130"/>
    <w:rsid w:val="1EF96D29"/>
    <w:rsid w:val="1FC67C1F"/>
    <w:rsid w:val="207D26A9"/>
    <w:rsid w:val="21AE2779"/>
    <w:rsid w:val="21BB6D55"/>
    <w:rsid w:val="22193096"/>
    <w:rsid w:val="23633C02"/>
    <w:rsid w:val="2425774D"/>
    <w:rsid w:val="25AA6DD0"/>
    <w:rsid w:val="26C35608"/>
    <w:rsid w:val="286D49E7"/>
    <w:rsid w:val="28FB0B8D"/>
    <w:rsid w:val="29CF7AF1"/>
    <w:rsid w:val="2B950FE1"/>
    <w:rsid w:val="2BD43B96"/>
    <w:rsid w:val="2D2B7942"/>
    <w:rsid w:val="2D46481D"/>
    <w:rsid w:val="2E733B28"/>
    <w:rsid w:val="2F41189D"/>
    <w:rsid w:val="305F34BF"/>
    <w:rsid w:val="30A524BC"/>
    <w:rsid w:val="31852B5A"/>
    <w:rsid w:val="32B92651"/>
    <w:rsid w:val="32D01238"/>
    <w:rsid w:val="32F40311"/>
    <w:rsid w:val="34767A9A"/>
    <w:rsid w:val="34851A87"/>
    <w:rsid w:val="360F48E2"/>
    <w:rsid w:val="38333F25"/>
    <w:rsid w:val="3A7D7561"/>
    <w:rsid w:val="3A9B4E8B"/>
    <w:rsid w:val="3AF36322"/>
    <w:rsid w:val="3B27375A"/>
    <w:rsid w:val="3B541AF7"/>
    <w:rsid w:val="3BBB631F"/>
    <w:rsid w:val="3CDC1A7A"/>
    <w:rsid w:val="3CE029C6"/>
    <w:rsid w:val="3D955CA6"/>
    <w:rsid w:val="3DFC59A8"/>
    <w:rsid w:val="3ECF245E"/>
    <w:rsid w:val="3FB96314"/>
    <w:rsid w:val="404D6203"/>
    <w:rsid w:val="4246431B"/>
    <w:rsid w:val="42FA475B"/>
    <w:rsid w:val="434D35FA"/>
    <w:rsid w:val="442777B4"/>
    <w:rsid w:val="458375FD"/>
    <w:rsid w:val="45E67A2D"/>
    <w:rsid w:val="49560A83"/>
    <w:rsid w:val="49F86F1A"/>
    <w:rsid w:val="4B2D227A"/>
    <w:rsid w:val="4D0D6F90"/>
    <w:rsid w:val="4D1113BF"/>
    <w:rsid w:val="4F20204A"/>
    <w:rsid w:val="504E4DCE"/>
    <w:rsid w:val="509D603F"/>
    <w:rsid w:val="50D92BF5"/>
    <w:rsid w:val="510A01A3"/>
    <w:rsid w:val="5126183F"/>
    <w:rsid w:val="538E654A"/>
    <w:rsid w:val="539B3962"/>
    <w:rsid w:val="53A44FAF"/>
    <w:rsid w:val="550A73B2"/>
    <w:rsid w:val="5606767B"/>
    <w:rsid w:val="563A3303"/>
    <w:rsid w:val="56884DAE"/>
    <w:rsid w:val="575C0A48"/>
    <w:rsid w:val="58C374EA"/>
    <w:rsid w:val="594329EC"/>
    <w:rsid w:val="59D7269D"/>
    <w:rsid w:val="5A687DD5"/>
    <w:rsid w:val="5B223A36"/>
    <w:rsid w:val="5BEE1540"/>
    <w:rsid w:val="5CB22889"/>
    <w:rsid w:val="5DE61A5D"/>
    <w:rsid w:val="618306A9"/>
    <w:rsid w:val="61C1079A"/>
    <w:rsid w:val="61D5157A"/>
    <w:rsid w:val="632B6CB7"/>
    <w:rsid w:val="63C04243"/>
    <w:rsid w:val="63C31CD2"/>
    <w:rsid w:val="63EC0AFC"/>
    <w:rsid w:val="64111AF1"/>
    <w:rsid w:val="649C01C7"/>
    <w:rsid w:val="658762C0"/>
    <w:rsid w:val="65904692"/>
    <w:rsid w:val="67832208"/>
    <w:rsid w:val="68431B35"/>
    <w:rsid w:val="699A3F60"/>
    <w:rsid w:val="6A3B1DBE"/>
    <w:rsid w:val="6A801F64"/>
    <w:rsid w:val="6AB76F81"/>
    <w:rsid w:val="6BE26643"/>
    <w:rsid w:val="6D025821"/>
    <w:rsid w:val="6DD13C64"/>
    <w:rsid w:val="70CA64A2"/>
    <w:rsid w:val="72902E62"/>
    <w:rsid w:val="72D25049"/>
    <w:rsid w:val="73C61104"/>
    <w:rsid w:val="747E5434"/>
    <w:rsid w:val="75274F1D"/>
    <w:rsid w:val="75457F92"/>
    <w:rsid w:val="75547540"/>
    <w:rsid w:val="75926C9E"/>
    <w:rsid w:val="75D833D5"/>
    <w:rsid w:val="75EC1B6F"/>
    <w:rsid w:val="75F0224D"/>
    <w:rsid w:val="76231028"/>
    <w:rsid w:val="776452EA"/>
    <w:rsid w:val="778A38F8"/>
    <w:rsid w:val="783C28D2"/>
    <w:rsid w:val="784557E4"/>
    <w:rsid w:val="7A6C7420"/>
    <w:rsid w:val="7AF052C4"/>
    <w:rsid w:val="7C5225C8"/>
    <w:rsid w:val="7CB87DB4"/>
    <w:rsid w:val="7CC27B01"/>
    <w:rsid w:val="7D642233"/>
    <w:rsid w:val="7DBE326E"/>
    <w:rsid w:val="7DC663B9"/>
    <w:rsid w:val="7F4A427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2"/>
    <w:semiHidden/>
    <w:unhideWhenUsed/>
    <w:qFormat/>
    <w:uiPriority w:val="99"/>
    <w:pPr>
      <w:ind w:left="100" w:leftChars="2500"/>
    </w:pPr>
  </w:style>
  <w:style w:type="paragraph" w:styleId="7">
    <w:name w:val="Balloon Text"/>
    <w:basedOn w:val="1"/>
    <w:link w:val="20"/>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2"/>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12">
    <w:name w:val="Title"/>
    <w:basedOn w:val="1"/>
    <w:next w:val="1"/>
    <w:link w:val="21"/>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4">
    <w:name w:val="Table Grid"/>
    <w:basedOn w:val="13"/>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页眉 Char"/>
    <w:basedOn w:val="15"/>
    <w:link w:val="9"/>
    <w:qFormat/>
    <w:uiPriority w:val="99"/>
    <w:rPr>
      <w:sz w:val="18"/>
      <w:szCs w:val="18"/>
    </w:rPr>
  </w:style>
  <w:style w:type="character" w:customStyle="1" w:styleId="17">
    <w:name w:val="页脚 Char"/>
    <w:basedOn w:val="15"/>
    <w:link w:val="8"/>
    <w:qFormat/>
    <w:uiPriority w:val="99"/>
    <w:rPr>
      <w:sz w:val="18"/>
      <w:szCs w:val="18"/>
    </w:rPr>
  </w:style>
  <w:style w:type="paragraph" w:styleId="18">
    <w:name w:val="No Spacing"/>
    <w:link w:val="19"/>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Char"/>
    <w:basedOn w:val="15"/>
    <w:link w:val="18"/>
    <w:qFormat/>
    <w:uiPriority w:val="1"/>
    <w:rPr>
      <w:kern w:val="0"/>
      <w:sz w:val="22"/>
    </w:rPr>
  </w:style>
  <w:style w:type="character" w:customStyle="1" w:styleId="20">
    <w:name w:val="批注框文本 Char"/>
    <w:basedOn w:val="15"/>
    <w:link w:val="7"/>
    <w:semiHidden/>
    <w:qFormat/>
    <w:uiPriority w:val="99"/>
    <w:rPr>
      <w:rFonts w:ascii="Times New Roman" w:hAnsi="Times New Roman" w:eastAsia="宋体" w:cs="Times New Roman"/>
      <w:sz w:val="18"/>
      <w:szCs w:val="18"/>
    </w:rPr>
  </w:style>
  <w:style w:type="character" w:customStyle="1" w:styleId="21">
    <w:name w:val="标题 Char"/>
    <w:basedOn w:val="15"/>
    <w:link w:val="12"/>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2">
    <w:name w:val="副标题 Char"/>
    <w:basedOn w:val="15"/>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3">
    <w:name w:val="Style1"/>
    <w:basedOn w:val="15"/>
    <w:qFormat/>
    <w:uiPriority w:val="1"/>
    <w:rPr>
      <w:rFonts w:asciiTheme="minorHAnsi" w:hAnsiTheme="minorEastAsia" w:eastAsiaTheme="minorEastAsia" w:cstheme="minorBidi"/>
      <w:sz w:val="22"/>
      <w:szCs w:val="22"/>
      <w:lang w:eastAsia="zh-CN"/>
    </w:rPr>
  </w:style>
  <w:style w:type="character" w:customStyle="1" w:styleId="24">
    <w:name w:val="Style2"/>
    <w:basedOn w:val="15"/>
    <w:qFormat/>
    <w:uiPriority w:val="1"/>
    <w:rPr>
      <w:rFonts w:asciiTheme="minorHAnsi" w:hAnsiTheme="minorEastAsia" w:eastAsiaTheme="minorEastAsia" w:cstheme="minorBidi"/>
      <w:sz w:val="22"/>
      <w:szCs w:val="22"/>
      <w:lang w:eastAsia="zh-CN"/>
    </w:rPr>
  </w:style>
  <w:style w:type="character" w:customStyle="1" w:styleId="25">
    <w:name w:val="Style3"/>
    <w:basedOn w:val="15"/>
    <w:qFormat/>
    <w:uiPriority w:val="1"/>
    <w:rPr>
      <w:rFonts w:asciiTheme="minorHAnsi" w:hAnsiTheme="minorEastAsia" w:eastAsiaTheme="minorEastAsia" w:cstheme="minorBidi"/>
      <w:szCs w:val="22"/>
      <w:lang w:eastAsia="zh-CN"/>
    </w:rPr>
  </w:style>
  <w:style w:type="character" w:customStyle="1" w:styleId="26">
    <w:name w:val="Style4"/>
    <w:basedOn w:val="15"/>
    <w:qFormat/>
    <w:uiPriority w:val="1"/>
    <w:rPr>
      <w:rFonts w:asciiTheme="minorHAnsi" w:hAnsiTheme="minorEastAsia" w:eastAsiaTheme="minorEastAsia" w:cstheme="minorBidi"/>
      <w:szCs w:val="22"/>
      <w:lang w:eastAsia="zh-CN"/>
    </w:rPr>
  </w:style>
  <w:style w:type="character" w:customStyle="1" w:styleId="27">
    <w:name w:val="Style5"/>
    <w:basedOn w:val="15"/>
    <w:qFormat/>
    <w:uiPriority w:val="1"/>
    <w:rPr>
      <w:rFonts w:asciiTheme="minorHAnsi" w:hAnsiTheme="minorEastAsia" w:eastAsiaTheme="minorEastAsia" w:cstheme="minorBidi"/>
      <w:sz w:val="22"/>
      <w:szCs w:val="22"/>
      <w:lang w:eastAsia="zh-CN"/>
    </w:rPr>
  </w:style>
  <w:style w:type="character" w:customStyle="1" w:styleId="28">
    <w:name w:val="标题 1 Char"/>
    <w:basedOn w:val="15"/>
    <w:link w:val="2"/>
    <w:qFormat/>
    <w:uiPriority w:val="9"/>
    <w:rPr>
      <w:rFonts w:ascii="Times New Roman" w:hAnsi="Times New Roman" w:eastAsia="宋体" w:cs="Times New Roman"/>
      <w:b/>
      <w:bCs/>
      <w:kern w:val="44"/>
      <w:sz w:val="44"/>
      <w:szCs w:val="44"/>
    </w:rPr>
  </w:style>
  <w:style w:type="character" w:customStyle="1" w:styleId="29">
    <w:name w:val="标题 2 Char"/>
    <w:basedOn w:val="15"/>
    <w:link w:val="3"/>
    <w:qFormat/>
    <w:uiPriority w:val="9"/>
    <w:rPr>
      <w:rFonts w:asciiTheme="majorHAnsi" w:hAnsiTheme="majorHAnsi" w:eastAsiaTheme="majorEastAsia" w:cstheme="majorBidi"/>
      <w:b/>
      <w:bCs/>
      <w:sz w:val="32"/>
      <w:szCs w:val="32"/>
    </w:rPr>
  </w:style>
  <w:style w:type="character" w:customStyle="1" w:styleId="30">
    <w:name w:val="标题 3 Char"/>
    <w:basedOn w:val="15"/>
    <w:link w:val="4"/>
    <w:qFormat/>
    <w:uiPriority w:val="9"/>
    <w:rPr>
      <w:rFonts w:ascii="Times New Roman" w:hAnsi="Times New Roman" w:eastAsia="宋体" w:cs="Times New Roman"/>
      <w:b/>
      <w:bCs/>
      <w:sz w:val="32"/>
      <w:szCs w:val="32"/>
    </w:rPr>
  </w:style>
  <w:style w:type="character" w:customStyle="1" w:styleId="31">
    <w:name w:val="标题 4 Char"/>
    <w:basedOn w:val="15"/>
    <w:link w:val="5"/>
    <w:qFormat/>
    <w:uiPriority w:val="9"/>
    <w:rPr>
      <w:rFonts w:asciiTheme="majorHAnsi" w:hAnsiTheme="majorHAnsi" w:eastAsiaTheme="majorEastAsia" w:cstheme="majorBidi"/>
      <w:b/>
      <w:bCs/>
      <w:sz w:val="28"/>
      <w:szCs w:val="28"/>
    </w:rPr>
  </w:style>
  <w:style w:type="character" w:customStyle="1" w:styleId="32">
    <w:name w:val="日期 Char"/>
    <w:basedOn w:val="15"/>
    <w:link w:val="6"/>
    <w:semiHidden/>
    <w:qFormat/>
    <w:uiPriority w:val="99"/>
    <w:rPr>
      <w:rFonts w:ascii="Times New Roman" w:hAnsi="Times New Roman" w:eastAsia="宋体" w:cs="Times New Roman"/>
      <w:szCs w:val="24"/>
    </w:rPr>
  </w:style>
  <w:style w:type="paragraph" w:styleId="3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[Book1]Sheet1!$B$1</c:f>
              <c:strCache>
                <c:ptCount val="1"/>
                <c:pt idx="0">
                  <c:v>财政拨款收入</c:v>
                </c:pt>
              </c:strCache>
            </c:strRef>
          </c:tx>
          <c:spPr/>
          <c:explosion val="0"/>
          <c:dPt>
            <c:idx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[Book1]Sheet1!$C$1</c:f>
              <c:numCache>
                <c:formatCode>General</c:formatCode>
                <c:ptCount val="1"/>
                <c:pt idx="0">
                  <c:v>95250.08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1.96</a:t>
                    </a:r>
                    <a:r>
                      <a:t>%</a:t>
                    </a:r>
                  </a:p>
                </c:rich>
              </c:tx>
              <c:dLblPos val="inEnd"/>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98</a:t>
                    </a:r>
                    <a:r>
                      <a:rPr lang="en-US" altLang="zh-CN"/>
                      <a:t>.04</a:t>
                    </a:r>
                    <a:r>
                      <a:t>%</a:t>
                    </a:r>
                  </a:p>
                </c:rich>
              </c:tx>
              <c:dLblPos val="in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[Book1]Sheet1!$B$1:$B$2</c:f>
              <c:strCache>
                <c:ptCount val="2"/>
                <c:pt idx="0">
                  <c:v>基本支出</c:v>
                </c:pt>
                <c:pt idx="1">
                  <c:v>项目支出</c:v>
                </c:pt>
              </c:strCache>
            </c:strRef>
          </c:cat>
          <c:val>
            <c:numRef>
              <c:f>[Book1]Sheet1!$C$1:$C$2</c:f>
              <c:numCache>
                <c:formatCode>General</c:formatCode>
                <c:ptCount val="2"/>
                <c:pt idx="0">
                  <c:v>1870.96</c:v>
                </c:pt>
                <c:pt idx="1">
                  <c:v>93366.06</c:v>
                </c:pt>
              </c:numCache>
            </c:numRef>
          </c:val>
        </c:ser>
        <c:ser>
          <c:idx val="1"/>
          <c:order val="1"/>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elete val="1"/>
          </c:dLbls>
          <c:cat>
            <c:strRef>
              <c:f>[Book1]Sheet1!$B$1:$B$2</c:f>
              <c:strCache>
                <c:ptCount val="2"/>
                <c:pt idx="0">
                  <c:v>基本支出</c:v>
                </c:pt>
                <c:pt idx="1">
                  <c:v>项目支出</c:v>
                </c:pt>
              </c:strCache>
            </c:strRef>
          </c:cat>
          <c:val>
            <c:numRef>
              <c:f>[Book1]Sheet1!$D$1:$D$2</c:f>
              <c:numCache>
                <c:formatCode>0.00%</c:formatCode>
                <c:ptCount val="2"/>
                <c:pt idx="0">
                  <c:v>0.0196</c:v>
                </c:pt>
                <c:pt idx="1">
                  <c:v>0.9804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multiLvlStrRef>
              <c:f>[Book1]Sheet1!$A$3:$C$8</c:f>
              <c:multiLvlStrCache>
                <c:ptCount val="6"/>
                <c:lvl>
                  <c:pt idx="0">
                    <c:v>2018年财政拨款支出</c:v>
                  </c:pt>
                  <c:pt idx="1">
                    <c:v>2018年一般公共预算支出</c:v>
                  </c:pt>
                  <c:pt idx="2">
                    <c:v>2018年政府性基金支出</c:v>
                  </c:pt>
                  <c:pt idx="3">
                    <c:v>2017年财政拨款支出</c:v>
                  </c:pt>
                  <c:pt idx="4">
                    <c:v>2017年一般公共预算支出</c:v>
                  </c:pt>
                  <c:pt idx="5">
                    <c:v>2017年政府性基金支出</c:v>
                  </c:pt>
                </c:lvl>
                <c:lvl>
                  <c:pt idx="0" c:formatCode="#,##0.00">
                    <c:v>95,250.08</c:v>
                  </c:pt>
                  <c:pt idx="1">
                    <c:v>40473.46</c:v>
                  </c:pt>
                  <c:pt idx="2">
                    <c:v>54776.62</c:v>
                  </c:pt>
                  <c:pt idx="3">
                    <c:v>106088.37</c:v>
                  </c:pt>
                  <c:pt idx="4">
                    <c:v>39567.96</c:v>
                  </c:pt>
                  <c:pt idx="5">
                    <c:v>66520.41</c:v>
                  </c:pt>
                </c:lvl>
                <c:lvl>
                  <c:pt idx="0">
                    <c:v>2018年财政拨款收入</c:v>
                  </c:pt>
                  <c:pt idx="1">
                    <c:v>2018年一般公共预算财政拨款收入</c:v>
                  </c:pt>
                  <c:pt idx="2">
                    <c:v>2018年政府性基金预算财政拨款收入</c:v>
                  </c:pt>
                  <c:pt idx="3">
                    <c:v>2017年财政拨款收入</c:v>
                  </c:pt>
                  <c:pt idx="4">
                    <c:v>2017年一般公共预算财政拨款收入</c:v>
                  </c:pt>
                  <c:pt idx="5">
                    <c:v>2017年政府性基金预算财政拨款收入</c:v>
                  </c:pt>
                </c:lvl>
              </c:multiLvlStrCache>
            </c:multiLvlStrRef>
          </c:cat>
          <c:val>
            <c:numRef>
              <c:f>[Book1]Sheet1!$D$3:$D$8</c:f>
              <c:numCache>
                <c:formatCode>General</c:formatCode>
                <c:ptCount val="6"/>
                <c:pt idx="0">
                  <c:v>95237.02</c:v>
                </c:pt>
                <c:pt idx="1">
                  <c:v>40460.4</c:v>
                </c:pt>
                <c:pt idx="2">
                  <c:v>54776.62</c:v>
                </c:pt>
                <c:pt idx="3">
                  <c:v>106105.08</c:v>
                </c:pt>
                <c:pt idx="4">
                  <c:v>39584.67</c:v>
                </c:pt>
                <c:pt idx="5">
                  <c:v>66520.41</c:v>
                </c:pt>
              </c:numCache>
            </c:numRef>
          </c:val>
        </c:ser>
        <c:dLbls>
          <c:showLegendKey val="0"/>
          <c:showVal val="0"/>
          <c:showCatName val="0"/>
          <c:showSerName val="0"/>
          <c:showPercent val="0"/>
          <c:showBubbleSize val="0"/>
        </c:dLbls>
        <c:gapWidth val="150"/>
        <c:overlap val="0"/>
        <c:axId val="727406297"/>
        <c:axId val="363814086"/>
      </c:barChart>
      <c:catAx>
        <c:axId val="72740629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3814086"/>
        <c:crosses val="autoZero"/>
        <c:auto val="1"/>
        <c:lblAlgn val="ctr"/>
        <c:lblOffset val="100"/>
        <c:noMultiLvlLbl val="0"/>
      </c:catAx>
      <c:valAx>
        <c:axId val="363814086"/>
        <c:scaling>
          <c:orientation val="minMax"/>
        </c:scaling>
        <c:delete val="0"/>
        <c:axPos val="l"/>
        <c:majorGridlines>
          <c:spPr>
            <a:ln w="9525" cap="flat" cmpd="sng" algn="ctr">
              <a:solidFill>
                <a:schemeClr val="tx1">
                  <a:lumMod val="15000"/>
                  <a:lumOff val="85000"/>
                </a:schemeClr>
              </a:solidFill>
              <a:round/>
            </a:ln>
            <a:effectLst/>
          </c:spPr>
        </c:majorGridlines>
        <c:title>
          <c:layout/>
          <c:overlay val="0"/>
          <c:spPr>
            <a:noFill/>
            <a:ln>
              <a:noFill/>
            </a:ln>
            <a:effectLst/>
          </c:spPr>
          <c:txPr>
            <a:bodyPr rot="-54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740629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clustered"/>
        <c:varyColors val="0"/>
        <c:ser>
          <c:idx val="0"/>
          <c:order val="0"/>
          <c:tx>
            <c:strRef>
              <c:f>[Book1]Sheet1!$B$1:$B$2</c:f>
              <c:strCache>
                <c:ptCount val="1"/>
                <c:pt idx="0">
                  <c:v>2018年预算 金额</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[Book1]Sheet1!$A$3:$A$10</c:f>
              <c:strCache>
                <c:ptCount val="8"/>
                <c:pt idx="0">
                  <c:v>财政拨款收入</c:v>
                </c:pt>
                <c:pt idx="1">
                  <c:v>一般公共预算财政拨款收入</c:v>
                </c:pt>
                <c:pt idx="2">
                  <c:v>政府性基金预算财政拨款收入</c:v>
                </c:pt>
                <c:pt idx="3">
                  <c:v>财政拨款支出</c:v>
                </c:pt>
                <c:pt idx="4">
                  <c:v>一般公共预算财政拨款支出</c:v>
                </c:pt>
                <c:pt idx="5">
                  <c:v>政府性基金预算财政拨款支出</c:v>
                </c:pt>
                <c:pt idx="7">
                  <c:v> </c:v>
                </c:pt>
              </c:strCache>
            </c:strRef>
          </c:cat>
          <c:val>
            <c:numRef>
              <c:f>[Book1]Sheet1!$B$3:$B$10</c:f>
              <c:numCache>
                <c:formatCode>General</c:formatCode>
                <c:ptCount val="8"/>
                <c:pt idx="0">
                  <c:v>66795.05</c:v>
                </c:pt>
                <c:pt idx="1">
                  <c:v>31795.05</c:v>
                </c:pt>
                <c:pt idx="2">
                  <c:v>35000</c:v>
                </c:pt>
                <c:pt idx="3">
                  <c:v>66795.05</c:v>
                </c:pt>
                <c:pt idx="4">
                  <c:v>31795.05</c:v>
                </c:pt>
                <c:pt idx="5">
                  <c:v>35000</c:v>
                </c:pt>
              </c:numCache>
            </c:numRef>
          </c:val>
        </c:ser>
        <c:ser>
          <c:idx val="1"/>
          <c:order val="1"/>
          <c:tx>
            <c:strRef>
              <c:f>[Book1]Sheet1!$C$1:$C$2</c:f>
              <c:strCache>
                <c:ptCount val="1"/>
                <c:pt idx="0">
                  <c:v>2018年决算 项目</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[Book1]Sheet1!$A$3:$A$10</c:f>
              <c:strCache>
                <c:ptCount val="8"/>
                <c:pt idx="0">
                  <c:v>财政拨款收入</c:v>
                </c:pt>
                <c:pt idx="1">
                  <c:v>一般公共预算财政拨款收入</c:v>
                </c:pt>
                <c:pt idx="2">
                  <c:v>政府性基金预算财政拨款收入</c:v>
                </c:pt>
                <c:pt idx="3">
                  <c:v>财政拨款支出</c:v>
                </c:pt>
                <c:pt idx="4">
                  <c:v>一般公共预算财政拨款支出</c:v>
                </c:pt>
                <c:pt idx="5">
                  <c:v>政府性基金预算财政拨款支出</c:v>
                </c:pt>
                <c:pt idx="7">
                  <c:v> </c:v>
                </c:pt>
              </c:strCache>
            </c:strRef>
          </c:cat>
          <c:val>
            <c:numRef>
              <c:f>[Book1]Sheet1!$C$3:$C$10</c:f>
              <c:numCache>
                <c:formatCode>General</c:formatCode>
                <c:ptCount val="8"/>
                <c:pt idx="0">
                  <c:v>0</c:v>
                </c:pt>
                <c:pt idx="1">
                  <c:v>0</c:v>
                </c:pt>
                <c:pt idx="2">
                  <c:v>0</c:v>
                </c:pt>
                <c:pt idx="3">
                  <c:v>0</c:v>
                </c:pt>
                <c:pt idx="4">
                  <c:v>0</c:v>
                </c:pt>
                <c:pt idx="5">
                  <c:v>0</c:v>
                </c:pt>
              </c:numCache>
            </c:numRef>
          </c:val>
        </c:ser>
        <c:ser>
          <c:idx val="2"/>
          <c:order val="2"/>
          <c:tx>
            <c:strRef>
              <c:f>[Book1]Sheet1!$D$1:$D$2</c:f>
              <c:strCache>
                <c:ptCount val="1"/>
                <c:pt idx="0">
                  <c:v>2018年决算 金额</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[Book1]Sheet1!$A$3:$A$10</c:f>
              <c:strCache>
                <c:ptCount val="8"/>
                <c:pt idx="0">
                  <c:v>财政拨款收入</c:v>
                </c:pt>
                <c:pt idx="1">
                  <c:v>一般公共预算财政拨款收入</c:v>
                </c:pt>
                <c:pt idx="2">
                  <c:v>政府性基金预算财政拨款收入</c:v>
                </c:pt>
                <c:pt idx="3">
                  <c:v>财政拨款支出</c:v>
                </c:pt>
                <c:pt idx="4">
                  <c:v>一般公共预算财政拨款支出</c:v>
                </c:pt>
                <c:pt idx="5">
                  <c:v>政府性基金预算财政拨款支出</c:v>
                </c:pt>
                <c:pt idx="7">
                  <c:v> </c:v>
                </c:pt>
              </c:strCache>
            </c:strRef>
          </c:cat>
          <c:val>
            <c:numRef>
              <c:f>[Book1]Sheet1!$D$3:$D$10</c:f>
              <c:numCache>
                <c:formatCode>#,##0.00</c:formatCode>
                <c:ptCount val="8"/>
                <c:pt idx="0">
                  <c:v>95250.08</c:v>
                </c:pt>
                <c:pt idx="1" c:formatCode="General">
                  <c:v>40473.46</c:v>
                </c:pt>
                <c:pt idx="2" c:formatCode="General">
                  <c:v>54776.62</c:v>
                </c:pt>
                <c:pt idx="3" c:formatCode="General">
                  <c:v>95237.02</c:v>
                </c:pt>
                <c:pt idx="4" c:formatCode="General">
                  <c:v>40460.4</c:v>
                </c:pt>
                <c:pt idx="5" c:formatCode="General">
                  <c:v>54776.62</c:v>
                </c:pt>
              </c:numCache>
            </c:numRef>
          </c:val>
        </c:ser>
        <c:dLbls>
          <c:showLegendKey val="0"/>
          <c:showVal val="1"/>
          <c:showCatName val="0"/>
          <c:showSerName val="0"/>
          <c:showPercent val="0"/>
          <c:showBubbleSize val="0"/>
        </c:dLbls>
        <c:gapWidth val="150"/>
        <c:overlap val="-25"/>
        <c:axId val="83931754"/>
        <c:axId val="761495054"/>
      </c:barChart>
      <c:catAx>
        <c:axId val="8393175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1495054"/>
        <c:crosses val="autoZero"/>
        <c:auto val="1"/>
        <c:lblAlgn val="ctr"/>
        <c:lblOffset val="100"/>
        <c:noMultiLvlLbl val="0"/>
      </c:catAx>
      <c:valAx>
        <c:axId val="761495054"/>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931754"/>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160027952481"/>
          <c:y val="0.0700872784977519"/>
          <c:w val="0.466946191474493"/>
          <c:h val="0.88362866966411"/>
        </c:manualLayout>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elete val="1"/>
          </c:dLbls>
          <c:cat>
            <c:strRef>
              <c:f>[Book1]Sheet1!$A$1:$A$6</c:f>
              <c:strCache>
                <c:ptCount val="6"/>
                <c:pt idx="0">
                  <c:v>一般公共服务支出</c:v>
                </c:pt>
                <c:pt idx="1">
                  <c:v>社会保障和就业支出</c:v>
                </c:pt>
                <c:pt idx="2">
                  <c:v>医疗卫生与计划生育支出</c:v>
                </c:pt>
                <c:pt idx="3">
                  <c:v>城乡社区支出</c:v>
                </c:pt>
                <c:pt idx="4">
                  <c:v>住房保障支出</c:v>
                </c:pt>
                <c:pt idx="5">
                  <c:v>农林水支出</c:v>
                </c:pt>
              </c:strCache>
            </c:strRef>
          </c:cat>
          <c:val>
            <c:numRef>
              <c:f>[Book1]Sheet1!$B$1:$B$6</c:f>
              <c:numCache>
                <c:formatCode>General</c:formatCode>
                <c:ptCount val="6"/>
                <c:pt idx="0">
                  <c:v>20</c:v>
                </c:pt>
                <c:pt idx="1">
                  <c:v>33833.18</c:v>
                </c:pt>
                <c:pt idx="2">
                  <c:v>6352.74</c:v>
                </c:pt>
                <c:pt idx="3">
                  <c:v>54776.62</c:v>
                </c:pt>
                <c:pt idx="4">
                  <c:v>85.47</c:v>
                </c:pt>
                <c:pt idx="5">
                  <c:v>169</c:v>
                </c:pt>
              </c:numCache>
            </c:numRef>
          </c:val>
        </c:ser>
        <c:ser>
          <c:idx val="1"/>
          <c:order val="1"/>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elete val="1"/>
          </c:dLbls>
          <c:cat>
            <c:strRef>
              <c:f>[Book1]Sheet1!$A$1:$A$6</c:f>
              <c:strCache>
                <c:ptCount val="6"/>
                <c:pt idx="0">
                  <c:v>一般公共服务支出</c:v>
                </c:pt>
                <c:pt idx="1">
                  <c:v>社会保障和就业支出</c:v>
                </c:pt>
                <c:pt idx="2">
                  <c:v>医疗卫生与计划生育支出</c:v>
                </c:pt>
                <c:pt idx="3">
                  <c:v>城乡社区支出</c:v>
                </c:pt>
                <c:pt idx="4">
                  <c:v>住房保障支出</c:v>
                </c:pt>
                <c:pt idx="5">
                  <c:v>农林水支出</c:v>
                </c:pt>
              </c:strCache>
            </c:strRef>
          </c:cat>
          <c:val>
            <c:numRef>
              <c:f>[Book1]Sheet1!$C$1:$C$6</c:f>
              <c:numCache>
                <c:formatCode>0.00%</c:formatCode>
                <c:ptCount val="6"/>
                <c:pt idx="0">
                  <c:v>0.0002</c:v>
                </c:pt>
                <c:pt idx="1">
                  <c:v>0.3552</c:v>
                </c:pt>
                <c:pt idx="2">
                  <c:v>0.0667</c:v>
                </c:pt>
                <c:pt idx="3">
                  <c:v>0.5752</c:v>
                </c:pt>
                <c:pt idx="4">
                  <c:v>0.0009</c:v>
                </c:pt>
                <c:pt idx="5">
                  <c:v>0.0018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datastoreItem>
</file>

<file path=customXml/itemProps2.xml><?xml version="1.0" encoding="utf-8"?>
<ds:datastoreItem xmlns:ds="http://schemas.openxmlformats.org/officeDocument/2006/customXml" ds:itemID="{1D59DA58-3CA2-4856-9A51-CD581AE1A76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1657</Words>
  <Characters>9446</Characters>
  <Lines>78</Lines>
  <Paragraphs>22</Paragraphs>
  <TotalTime>4</TotalTime>
  <ScaleCrop>false</ScaleCrop>
  <LinksUpToDate>false</LinksUpToDate>
  <CharactersWithSpaces>11081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2019-09-26T01:09:00Z</dcterms:created>
  <dc:creator>User</dc:creator>
  <cp:lastModifiedBy>啾</cp:lastModifiedBy>
  <cp:lastPrinted>2019-09-27T00:42:00Z</cp:lastPrinted>
  <dcterms:modified xsi:type="dcterms:W3CDTF">2023-11-17T07:14:08Z</dcterms:modified>
  <dc:subject>石家庄市xxx部门</dc:subject>
  <dc:title>2017年度部门决算</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29652F62C5D948549E8057FDF0645A0D</vt:lpwstr>
  </property>
</Properties>
</file>